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97"/>
        <w:gridCol w:w="88"/>
        <w:gridCol w:w="1008"/>
        <w:gridCol w:w="3386"/>
        <w:gridCol w:w="2127"/>
        <w:gridCol w:w="1984"/>
      </w:tblGrid>
      <w:tr w:rsidR="00C96B22" w:rsidTr="00112DD6"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112DD6" w:rsidP="00C96B2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F09B90" wp14:editId="778CA2DA">
                  <wp:extent cx="1061357" cy="793668"/>
                  <wp:effectExtent l="0" t="0" r="5715" b="6985"/>
                  <wp:docPr id="3" name="Picture 3" descr="C:\Users\jjohnson\Desktop\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ohnson\Desktop\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73" cy="79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21554D" w:rsidP="00D766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C4.27 </w:t>
            </w:r>
            <w:r w:rsidR="00C96B22" w:rsidRPr="00D766E6">
              <w:rPr>
                <w:b/>
                <w:sz w:val="28"/>
                <w:szCs w:val="28"/>
              </w:rPr>
              <w:t>BRISBANE YOUTH SERVICE – POSITION DESCRIPTION</w:t>
            </w:r>
          </w:p>
        </w:tc>
      </w:tr>
      <w:tr w:rsidR="00D766E6" w:rsidTr="00112DD6">
        <w:tc>
          <w:tcPr>
            <w:tcW w:w="29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Position title:</w:t>
            </w:r>
          </w:p>
        </w:tc>
        <w:tc>
          <w:tcPr>
            <w:tcW w:w="7497" w:type="dxa"/>
            <w:gridSpan w:val="3"/>
            <w:vAlign w:val="center"/>
          </w:tcPr>
          <w:p w:rsidR="00D766E6" w:rsidRPr="00D766E6" w:rsidRDefault="00A33AC2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Youth Support Worker</w:t>
            </w:r>
            <w:bookmarkStart w:id="0" w:name="_GoBack"/>
            <w:bookmarkEnd w:id="0"/>
          </w:p>
        </w:tc>
      </w:tr>
      <w:tr w:rsidR="00D766E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Program/Team:</w:t>
            </w:r>
          </w:p>
        </w:tc>
        <w:tc>
          <w:tcPr>
            <w:tcW w:w="7497" w:type="dxa"/>
            <w:gridSpan w:val="3"/>
            <w:vAlign w:val="center"/>
          </w:tcPr>
          <w:p w:rsidR="00D766E6" w:rsidRPr="00D766E6" w:rsidRDefault="00A33AC2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Homelessness and Housing Team</w:t>
            </w:r>
          </w:p>
        </w:tc>
      </w:tr>
      <w:tr w:rsidR="00D766E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44474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Employment type &amp; hours</w:t>
            </w:r>
          </w:p>
        </w:tc>
        <w:tc>
          <w:tcPr>
            <w:tcW w:w="7497" w:type="dxa"/>
            <w:gridSpan w:val="3"/>
            <w:vAlign w:val="center"/>
          </w:tcPr>
          <w:p w:rsidR="00D766E6" w:rsidRPr="00D766E6" w:rsidRDefault="008676A1" w:rsidP="007D44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Full Time 38 Hours per week</w:t>
            </w:r>
            <w:r w:rsidR="00DB3500">
              <w:rPr>
                <w:rFonts w:eastAsia="Calibri" w:cs="Times New Roman"/>
              </w:rPr>
              <w:t xml:space="preserve"> </w:t>
            </w:r>
            <w:r w:rsidR="003C06EA">
              <w:rPr>
                <w:rFonts w:eastAsia="Calibri" w:cs="Times New Roman"/>
              </w:rPr>
              <w:t>– 3 year temporary position</w:t>
            </w:r>
          </w:p>
        </w:tc>
      </w:tr>
      <w:tr w:rsidR="0021554D" w:rsidTr="00DB3500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4D" w:rsidRPr="00D44474" w:rsidRDefault="0021554D" w:rsidP="0019242F">
            <w:pPr>
              <w:spacing w:before="60" w:after="6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Employment Award</w:t>
            </w:r>
          </w:p>
        </w:tc>
        <w:tc>
          <w:tcPr>
            <w:tcW w:w="3386" w:type="dxa"/>
            <w:vAlign w:val="center"/>
          </w:tcPr>
          <w:p w:rsidR="0021554D" w:rsidRPr="00D766E6" w:rsidRDefault="00DB3500" w:rsidP="00486C56">
            <w:pPr>
              <w:spacing w:before="60" w:after="60"/>
              <w:rPr>
                <w:rFonts w:eastAsia="Calibri" w:cs="Times New Roman"/>
              </w:rPr>
            </w:pPr>
            <w:r>
              <w:t xml:space="preserve">SCHADS Award 2010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1554D" w:rsidRPr="0021554D" w:rsidRDefault="0021554D" w:rsidP="00486C5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Remuneration:</w:t>
            </w:r>
          </w:p>
        </w:tc>
        <w:tc>
          <w:tcPr>
            <w:tcW w:w="1984" w:type="dxa"/>
            <w:vAlign w:val="center"/>
          </w:tcPr>
          <w:p w:rsidR="0021554D" w:rsidRPr="00D766E6" w:rsidRDefault="00DB3500" w:rsidP="00A33AC2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TPEO </w:t>
            </w:r>
            <w:r w:rsidR="00A33AC2">
              <w:rPr>
                <w:rFonts w:eastAsia="Calibri" w:cs="Times New Roman"/>
              </w:rPr>
              <w:t>L</w:t>
            </w:r>
            <w:r w:rsidR="0021554D">
              <w:rPr>
                <w:rFonts w:eastAsia="Calibri" w:cs="Times New Roman"/>
              </w:rPr>
              <w:t xml:space="preserve">evel </w:t>
            </w:r>
            <w:r w:rsidR="00A33AC2">
              <w:rPr>
                <w:rFonts w:eastAsia="Calibri" w:cs="Times New Roman"/>
              </w:rPr>
              <w:t>4.1</w:t>
            </w:r>
          </w:p>
        </w:tc>
      </w:tr>
      <w:tr w:rsidR="00112DD6" w:rsidTr="00DB3500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 xml:space="preserve">Working from: </w:t>
            </w:r>
          </w:p>
        </w:tc>
        <w:tc>
          <w:tcPr>
            <w:tcW w:w="3386" w:type="dxa"/>
            <w:vAlign w:val="center"/>
          </w:tcPr>
          <w:p w:rsidR="00112DD6" w:rsidRPr="00D766E6" w:rsidRDefault="00112DD6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Fortitude Valley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12DD6" w:rsidRPr="00D44474" w:rsidRDefault="00112DD6" w:rsidP="001D2C28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rFonts w:eastAsia="Calibri" w:cs="Times New Roman"/>
                <w:b/>
              </w:rPr>
              <w:t>Last review of PD:</w:t>
            </w:r>
          </w:p>
        </w:tc>
        <w:tc>
          <w:tcPr>
            <w:tcW w:w="1984" w:type="dxa"/>
            <w:vAlign w:val="center"/>
          </w:tcPr>
          <w:p w:rsidR="00112DD6" w:rsidRPr="00D766E6" w:rsidRDefault="00112DD6" w:rsidP="001D2C28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2017</w:t>
            </w:r>
          </w:p>
        </w:tc>
      </w:tr>
      <w:tr w:rsidR="00112DD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Reporting relationships:</w:t>
            </w:r>
          </w:p>
        </w:tc>
        <w:tc>
          <w:tcPr>
            <w:tcW w:w="7497" w:type="dxa"/>
            <w:gridSpan w:val="3"/>
            <w:vAlign w:val="center"/>
          </w:tcPr>
          <w:p w:rsidR="00112DD6" w:rsidRPr="00D766E6" w:rsidRDefault="00112DD6" w:rsidP="00D12F33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Reports to the Program Manager, Homelessness and Housing Team</w:t>
            </w:r>
          </w:p>
        </w:tc>
      </w:tr>
      <w:tr w:rsidR="00112DD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Qualifying period:</w:t>
            </w:r>
          </w:p>
        </w:tc>
        <w:tc>
          <w:tcPr>
            <w:tcW w:w="7497" w:type="dxa"/>
            <w:gridSpan w:val="3"/>
            <w:vAlign w:val="center"/>
          </w:tcPr>
          <w:p w:rsidR="00112DD6" w:rsidRPr="00D766E6" w:rsidRDefault="00112DD6" w:rsidP="0019242F">
            <w:pPr>
              <w:spacing w:before="60" w:after="60"/>
              <w:rPr>
                <w:rFonts w:eastAsia="Calibri" w:cs="Times New Roman"/>
              </w:rPr>
            </w:pPr>
            <w:r>
              <w:t xml:space="preserve">6 months </w:t>
            </w:r>
          </w:p>
        </w:tc>
      </w:tr>
      <w:tr w:rsidR="00112DD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Primary purpose of position: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vAlign w:val="center"/>
          </w:tcPr>
          <w:p w:rsidR="00112DD6" w:rsidRPr="00D766E6" w:rsidRDefault="00112DD6" w:rsidP="00A33AC2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This position provides c</w:t>
            </w:r>
            <w:r>
              <w:t>risis, brief intervention and ongoing case managed support for young people, aged 12 – 18 years, at risk of homelessness, disconnection from family, education, and their community.</w:t>
            </w:r>
          </w:p>
        </w:tc>
      </w:tr>
      <w:tr w:rsidR="00112DD6" w:rsidRPr="00D766E6" w:rsidTr="00D44474">
        <w:tc>
          <w:tcPr>
            <w:tcW w:w="10490" w:type="dxa"/>
            <w:gridSpan w:val="6"/>
            <w:shd w:val="clear" w:color="auto" w:fill="D9D9D9" w:themeFill="background1" w:themeFillShade="D9"/>
          </w:tcPr>
          <w:p w:rsidR="00112DD6" w:rsidRPr="00D766E6" w:rsidRDefault="00112DD6">
            <w:pPr>
              <w:rPr>
                <w:b/>
                <w:sz w:val="28"/>
                <w:szCs w:val="28"/>
              </w:rPr>
            </w:pPr>
            <w:r w:rsidRPr="00D766E6">
              <w:rPr>
                <w:b/>
                <w:sz w:val="28"/>
                <w:szCs w:val="28"/>
              </w:rPr>
              <w:t>SELECTION CRITERIA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t>Applicants shall be assessed against these selection criteria.  Applicants need to provide written responses to the selection criteria below of no more than four (4) pages.</w:t>
            </w:r>
          </w:p>
        </w:tc>
      </w:tr>
      <w:tr w:rsidR="00112DD6" w:rsidTr="00100900">
        <w:tc>
          <w:tcPr>
            <w:tcW w:w="1985" w:type="dxa"/>
            <w:gridSpan w:val="2"/>
          </w:tcPr>
          <w:p w:rsidR="00112DD6" w:rsidRPr="00D766E6" w:rsidRDefault="00112DD6" w:rsidP="00100900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KEY SELECTION CRITERIA</w:t>
            </w:r>
          </w:p>
        </w:tc>
        <w:tc>
          <w:tcPr>
            <w:tcW w:w="8505" w:type="dxa"/>
            <w:gridSpan w:val="4"/>
          </w:tcPr>
          <w:p w:rsidR="00112DD6" w:rsidRPr="00486C56" w:rsidRDefault="00112DD6" w:rsidP="00100900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spacing w:line="276" w:lineRule="auto"/>
              <w:ind w:left="317" w:hanging="283"/>
              <w:contextualSpacing w:val="0"/>
            </w:pPr>
            <w:r>
              <w:t>An u</w:t>
            </w:r>
            <w:r w:rsidRPr="00486C56">
              <w:t>nderstanding of</w:t>
            </w:r>
            <w:r>
              <w:t>,</w:t>
            </w:r>
            <w:r w:rsidRPr="00486C56">
              <w:t xml:space="preserve"> and commitment to</w:t>
            </w:r>
            <w:r>
              <w:t>,</w:t>
            </w:r>
            <w:r w:rsidRPr="00486C56">
              <w:t xml:space="preserve"> BYS</w:t>
            </w:r>
            <w:r>
              <w:t>’s</w:t>
            </w:r>
            <w:r w:rsidRPr="00486C56">
              <w:t xml:space="preserve"> vision</w:t>
            </w:r>
            <w:r>
              <w:t xml:space="preserve"> and</w:t>
            </w:r>
            <w:r w:rsidRPr="00486C56">
              <w:t xml:space="preserve"> objectives and </w:t>
            </w:r>
            <w:r>
              <w:t>the demonstrated experience working within a strengths-based and trauma informed p</w:t>
            </w:r>
            <w:r w:rsidRPr="00486C56">
              <w:t xml:space="preserve">ractice </w:t>
            </w:r>
            <w:r>
              <w:t>f</w:t>
            </w:r>
            <w:r w:rsidRPr="00486C56">
              <w:t>ramework.</w:t>
            </w:r>
          </w:p>
          <w:p w:rsidR="00100900" w:rsidRDefault="00100900" w:rsidP="00100900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ind w:left="317" w:hanging="283"/>
            </w:pPr>
            <w:r>
              <w:t>Demonstrated experience working</w:t>
            </w:r>
            <w:r w:rsidRPr="00116F44">
              <w:t xml:space="preserve"> holistically with </w:t>
            </w:r>
            <w:r>
              <w:t xml:space="preserve">vulnerable </w:t>
            </w:r>
            <w:r w:rsidRPr="00116F44">
              <w:t xml:space="preserve">young people, using </w:t>
            </w:r>
            <w:r>
              <w:t>brief solution focussed crisis interventions and ongoing case managed support</w:t>
            </w:r>
          </w:p>
          <w:p w:rsidR="00112DD6" w:rsidRDefault="00100900" w:rsidP="00100900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ind w:left="317" w:hanging="283"/>
              <w:contextualSpacing w:val="0"/>
            </w:pPr>
            <w:r>
              <w:t xml:space="preserve">Strong organisational and </w:t>
            </w:r>
            <w:r w:rsidR="00112DD6" w:rsidRPr="00C540E8">
              <w:t xml:space="preserve">planning </w:t>
            </w:r>
            <w:r>
              <w:t xml:space="preserve">skills </w:t>
            </w:r>
            <w:r w:rsidR="00112DD6" w:rsidRPr="00C540E8">
              <w:t xml:space="preserve">and </w:t>
            </w:r>
            <w:r>
              <w:t xml:space="preserve">the ability to work independently and contribute positively within a team </w:t>
            </w:r>
          </w:p>
          <w:p w:rsidR="00100900" w:rsidRPr="00486C56" w:rsidRDefault="00100900" w:rsidP="00100900">
            <w:pPr>
              <w:numPr>
                <w:ilvl w:val="0"/>
                <w:numId w:val="15"/>
              </w:numPr>
              <w:tabs>
                <w:tab w:val="left" w:pos="311"/>
              </w:tabs>
              <w:spacing w:line="276" w:lineRule="auto"/>
              <w:ind w:left="317" w:hanging="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Demonstrated effective</w:t>
            </w:r>
            <w:r w:rsidRPr="00486C56">
              <w:rPr>
                <w:rFonts w:eastAsia="Calibri" w:cs="Times New Roman"/>
              </w:rPr>
              <w:t xml:space="preserve"> communication skills</w:t>
            </w:r>
            <w:r>
              <w:rPr>
                <w:rFonts w:eastAsia="Calibri" w:cs="Times New Roman"/>
              </w:rPr>
              <w:t>, including strong interpersonal skills and writing skills and the ability to advocate on behalf of others</w:t>
            </w:r>
            <w:r w:rsidRPr="00486C56">
              <w:rPr>
                <w:rFonts w:eastAsia="Calibri" w:cs="Times New Roman"/>
              </w:rPr>
              <w:t>.</w:t>
            </w:r>
          </w:p>
          <w:p w:rsidR="00100900" w:rsidRPr="00D766E6" w:rsidRDefault="00100900" w:rsidP="00100900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ind w:left="317" w:hanging="283"/>
            </w:pPr>
            <w:r>
              <w:t>Demonstrated experience developing networks and collaborative relationships with internal and external stakeholders, including government and community service providers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766E6" w:rsidRDefault="00112DD6" w:rsidP="00112DD6">
            <w:pPr>
              <w:spacing w:before="60"/>
              <w:rPr>
                <w:rFonts w:eastAsia="Calibri"/>
                <w:lang w:val="en-US"/>
              </w:rPr>
            </w:pPr>
            <w:r w:rsidRPr="00D766E6">
              <w:rPr>
                <w:lang w:val="en-US"/>
              </w:rPr>
              <w:t>Education,</w:t>
            </w:r>
            <w:r w:rsidRPr="00D766E6">
              <w:rPr>
                <w:lang w:val="en-US"/>
              </w:rPr>
              <w:br/>
              <w:t>Qualifications,</w:t>
            </w:r>
          </w:p>
          <w:p w:rsidR="00112DD6" w:rsidRPr="00D766E6" w:rsidRDefault="00112DD6" w:rsidP="00112DD6">
            <w:pPr>
              <w:spacing w:before="60"/>
              <w:rPr>
                <w:rFonts w:eastAsia="Calibri" w:cs="Times New Roman"/>
                <w:lang w:val="en-US"/>
              </w:rPr>
            </w:pPr>
            <w:r w:rsidRPr="00D766E6">
              <w:rPr>
                <w:lang w:val="en-US"/>
              </w:rPr>
              <w:t xml:space="preserve">References </w:t>
            </w:r>
          </w:p>
        </w:tc>
        <w:tc>
          <w:tcPr>
            <w:tcW w:w="8505" w:type="dxa"/>
            <w:gridSpan w:val="4"/>
          </w:tcPr>
          <w:p w:rsidR="00112DD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 w:rsidRPr="00D766E6">
              <w:t>A tertiary qualification in Human Service, Social Worker or similar or experience in similar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 w:rsidRPr="00D766E6">
              <w:t xml:space="preserve">Current driver’s licence 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>
              <w:t>Working with Children Suitability Card / Blue Card</w:t>
            </w:r>
          </w:p>
          <w:p w:rsidR="00112DD6" w:rsidRPr="00D766E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 w:rsidRPr="00D766E6">
              <w:t>Three relevant references, including current or most recent manager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766E6" w:rsidRDefault="00112DD6" w:rsidP="00112DD6">
            <w:pPr>
              <w:spacing w:before="60"/>
              <w:rPr>
                <w:rFonts w:eastAsia="Calibri" w:cs="Times New Roman"/>
              </w:rPr>
            </w:pPr>
            <w:r>
              <w:t xml:space="preserve">Skills and </w:t>
            </w:r>
            <w:r w:rsidRPr="00D766E6">
              <w:t>Experience:</w:t>
            </w:r>
          </w:p>
        </w:tc>
        <w:tc>
          <w:tcPr>
            <w:tcW w:w="8505" w:type="dxa"/>
            <w:gridSpan w:val="4"/>
          </w:tcPr>
          <w:p w:rsidR="00100900" w:rsidRPr="00486C56" w:rsidRDefault="00100900" w:rsidP="00100900">
            <w:pPr>
              <w:numPr>
                <w:ilvl w:val="0"/>
                <w:numId w:val="2"/>
              </w:numPr>
              <w:tabs>
                <w:tab w:val="left" w:pos="311"/>
              </w:tabs>
              <w:spacing w:line="276" w:lineRule="auto"/>
              <w:ind w:left="317" w:hanging="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ability to be s</w:t>
            </w:r>
            <w:r w:rsidRPr="00486C56">
              <w:rPr>
                <w:rFonts w:eastAsia="Calibri" w:cs="Times New Roman"/>
              </w:rPr>
              <w:t xml:space="preserve">elf-reflective and </w:t>
            </w:r>
            <w:r>
              <w:rPr>
                <w:rFonts w:eastAsia="Calibri" w:cs="Times New Roman"/>
              </w:rPr>
              <w:t xml:space="preserve">utilise </w:t>
            </w:r>
            <w:r w:rsidRPr="00486C56">
              <w:rPr>
                <w:rFonts w:eastAsia="Calibri" w:cs="Times New Roman"/>
              </w:rPr>
              <w:t>critical thinking skills.</w:t>
            </w:r>
          </w:p>
          <w:p w:rsidR="00112DD6" w:rsidRPr="00C51724" w:rsidRDefault="00112DD6" w:rsidP="00100900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7" w:hanging="283"/>
            </w:pPr>
            <w:r w:rsidRPr="00C51724">
              <w:t>Ability to facilitate groups and activities providing positive engagement</w:t>
            </w:r>
          </w:p>
          <w:p w:rsidR="00112DD6" w:rsidRDefault="00112DD6" w:rsidP="00100900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7" w:hanging="283"/>
            </w:pPr>
            <w:r>
              <w:t>Demonstrated ability to work offsite, including outreach work</w:t>
            </w:r>
          </w:p>
          <w:p w:rsidR="00112DD6" w:rsidRPr="00D766E6" w:rsidRDefault="00112DD6" w:rsidP="00100900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7" w:hanging="283"/>
              <w:contextualSpacing w:val="0"/>
            </w:pPr>
            <w:r>
              <w:t>Computer and report writing skills</w:t>
            </w:r>
          </w:p>
        </w:tc>
      </w:tr>
      <w:tr w:rsidR="00112DD6" w:rsidTr="00112DD6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12DD6" w:rsidRPr="00D766E6" w:rsidRDefault="00112DD6" w:rsidP="00112DD6">
            <w:pPr>
              <w:spacing w:before="60"/>
              <w:rPr>
                <w:rFonts w:eastAsia="Calibri" w:cs="Times New Roman"/>
              </w:rPr>
            </w:pPr>
            <w:r w:rsidRPr="00D766E6">
              <w:t>Attributes: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112DD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ind w:left="318" w:hanging="284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Personal drive and integrity</w:t>
            </w:r>
          </w:p>
          <w:p w:rsidR="00112DD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ind w:left="318" w:hanging="284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Consultative and collaborative working attitude</w:t>
            </w:r>
          </w:p>
          <w:p w:rsidR="00112DD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/>
              <w:ind w:left="318" w:hanging="284"/>
              <w:rPr>
                <w:rFonts w:eastAsia="Calibri"/>
              </w:rPr>
            </w:pPr>
            <w:r>
              <w:t>Flexible, self-directing, inclusive, respectful, ethical, accountable.</w:t>
            </w:r>
          </w:p>
          <w:p w:rsidR="00112DD6" w:rsidRPr="00D766E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ind w:left="318" w:hanging="284"/>
              <w:contextualSpacing w:val="0"/>
            </w:pPr>
            <w:r>
              <w:t>Commitment to a learning culture and ongoing professional development.</w:t>
            </w:r>
          </w:p>
        </w:tc>
      </w:tr>
      <w:tr w:rsidR="00112DD6" w:rsidRPr="00D766E6" w:rsidTr="00D44474">
        <w:tc>
          <w:tcPr>
            <w:tcW w:w="10490" w:type="dxa"/>
            <w:gridSpan w:val="6"/>
            <w:shd w:val="clear" w:color="auto" w:fill="D9D9D9" w:themeFill="background1" w:themeFillShade="D9"/>
          </w:tcPr>
          <w:p w:rsidR="00112DD6" w:rsidRPr="00D766E6" w:rsidRDefault="00112DD6" w:rsidP="0019242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 xml:space="preserve">KEY RESULT AREAS - </w:t>
            </w:r>
            <w:r w:rsidRPr="00D766E6">
              <w:rPr>
                <w:b/>
                <w:sz w:val="28"/>
                <w:szCs w:val="28"/>
              </w:rPr>
              <w:t>Role and responsibilities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766E6" w:rsidRDefault="00112DD6" w:rsidP="00D766E6">
            <w:pPr>
              <w:spacing w:before="120" w:after="120" w:line="360" w:lineRule="auto"/>
              <w:rPr>
                <w:rFonts w:eastAsia="Calibri" w:cs="Times New Roman"/>
              </w:rPr>
            </w:pPr>
            <w:r>
              <w:t>Service Delivery:</w:t>
            </w:r>
          </w:p>
        </w:tc>
        <w:tc>
          <w:tcPr>
            <w:tcW w:w="8505" w:type="dxa"/>
            <w:gridSpan w:val="4"/>
          </w:tcPr>
          <w:p w:rsidR="00112DD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317" w:hanging="317"/>
            </w:pPr>
            <w:r>
              <w:t>Complete thorough assessments, provide brief solution focussed interventions, and ongoing case managed support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317" w:hanging="317"/>
            </w:pPr>
            <w:r>
              <w:t>Undertake offsite work, including home visits and street based outreach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317" w:hanging="317"/>
            </w:pPr>
            <w:r>
              <w:t>Facilitate referrals and support young people to access housing, legal, physical and mental health support, education and employment, and engage with their community</w:t>
            </w:r>
          </w:p>
          <w:p w:rsidR="00112DD6" w:rsidRPr="00D766E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hanging="686"/>
            </w:pPr>
            <w:r>
              <w:t>Participate in shared organisational service delivery and rostered centre based work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83863" w:rsidRDefault="00112DD6" w:rsidP="00B877B4">
            <w:pPr>
              <w:spacing w:before="120" w:after="120" w:line="360" w:lineRule="auto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lastRenderedPageBreak/>
              <w:t xml:space="preserve">Service operation and development </w:t>
            </w:r>
          </w:p>
        </w:tc>
        <w:tc>
          <w:tcPr>
            <w:tcW w:w="8505" w:type="dxa"/>
            <w:gridSpan w:val="4"/>
          </w:tcPr>
          <w:p w:rsidR="00112DD6" w:rsidRDefault="00112DD6" w:rsidP="00A33AC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Participate in staff meetings, service review and organisational planning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Develop and maintain networks and collaborative relationships with external providers to enhance young people’s access to services</w:t>
            </w:r>
          </w:p>
          <w:p w:rsidR="00112DD6" w:rsidRPr="00494D9E" w:rsidRDefault="00112DD6" w:rsidP="00A33AC2">
            <w:pPr>
              <w:numPr>
                <w:ilvl w:val="0"/>
                <w:numId w:val="6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>
              <w:t>Undertake monitoring and evaluation to maintain and improve service provision and client outcomes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83863" w:rsidRDefault="00112DD6" w:rsidP="00B877B4">
            <w:pPr>
              <w:spacing w:before="120" w:after="120" w:line="360" w:lineRule="auto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People and Culture</w:t>
            </w:r>
          </w:p>
        </w:tc>
        <w:tc>
          <w:tcPr>
            <w:tcW w:w="8505" w:type="dxa"/>
            <w:gridSpan w:val="4"/>
          </w:tcPr>
          <w:p w:rsidR="00112DD6" w:rsidRPr="00D83863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>Participate in training and professional development opportunities to address learning needs.</w:t>
            </w:r>
          </w:p>
          <w:p w:rsidR="00112DD6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 xml:space="preserve">Attend regular supervision and service reviews with the Program Manager to monitor the service </w:t>
            </w:r>
            <w:r>
              <w:rPr>
                <w:rFonts w:ascii="Calibri" w:hAnsi="Calibri" w:cs="Calibri"/>
              </w:rPr>
              <w:t xml:space="preserve">delivery </w:t>
            </w:r>
            <w:r w:rsidRPr="00D83863">
              <w:rPr>
                <w:rFonts w:ascii="Calibri" w:hAnsi="Calibri" w:cs="Calibri"/>
              </w:rPr>
              <w:t>and performance.</w:t>
            </w:r>
          </w:p>
          <w:p w:rsidR="00112DD6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Participate as a collaborative and supportive team member, contributing to the overall effectiveness of the team and outcomes for young people</w:t>
            </w:r>
          </w:p>
          <w:p w:rsidR="00112DD6" w:rsidRDefault="00112DD6" w:rsidP="00954F86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Comply with the BYS Code of Conduct to ensure ethical and professional practice</w:t>
            </w:r>
          </w:p>
          <w:p w:rsidR="00112DD6" w:rsidRDefault="00112DD6" w:rsidP="00954F86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Attend supervision and performance appraisal  with the Program Manager to monitor service delivery and performance</w:t>
            </w:r>
          </w:p>
          <w:p w:rsidR="00112DD6" w:rsidRDefault="00112DD6" w:rsidP="00954F86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Attend training and professional development opportunities to address learning needs</w:t>
            </w:r>
          </w:p>
          <w:p w:rsidR="00112DD6" w:rsidRPr="00D83863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>
              <w:t>Where agreed with Program Manager, supervise students, project workers and volunteers to support the team and safeguard the quality of the service.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83863" w:rsidRDefault="00112DD6" w:rsidP="00B877B4">
            <w:pPr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Administration</w:t>
            </w:r>
          </w:p>
          <w:p w:rsidR="00112DD6" w:rsidRPr="00D83863" w:rsidRDefault="00112DD6" w:rsidP="00B877B4">
            <w:pPr>
              <w:spacing w:before="120" w:after="120" w:line="360" w:lineRule="auto"/>
              <w:rPr>
                <w:rFonts w:eastAsia="Calibri" w:cs="Times New Roman"/>
              </w:rPr>
            </w:pPr>
          </w:p>
        </w:tc>
        <w:tc>
          <w:tcPr>
            <w:tcW w:w="8505" w:type="dxa"/>
            <w:gridSpan w:val="4"/>
          </w:tcPr>
          <w:p w:rsidR="00112DD6" w:rsidRPr="00D83863" w:rsidRDefault="00112DD6" w:rsidP="00B877B4">
            <w:pPr>
              <w:tabs>
                <w:tab w:val="left" w:pos="333"/>
              </w:tabs>
              <w:ind w:left="333" w:hanging="284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•</w:t>
            </w:r>
            <w:r w:rsidRPr="00D83863">
              <w:rPr>
                <w:rFonts w:eastAsia="Calibri" w:cs="Times New Roman"/>
              </w:rPr>
              <w:tab/>
              <w:t>Implement administration relating to the service, including accurate records, client files, correspondence and statistics.</w:t>
            </w:r>
          </w:p>
          <w:p w:rsidR="00112DD6" w:rsidRPr="00D83863" w:rsidRDefault="00112DD6" w:rsidP="00B877B4">
            <w:pPr>
              <w:numPr>
                <w:ilvl w:val="0"/>
                <w:numId w:val="9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Prepare reports as required.</w:t>
            </w:r>
          </w:p>
          <w:p w:rsidR="00112DD6" w:rsidRPr="00D83863" w:rsidRDefault="00112DD6" w:rsidP="00B877B4">
            <w:pPr>
              <w:numPr>
                <w:ilvl w:val="0"/>
                <w:numId w:val="8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Maintain accurate and timely record keeping and data collection.</w:t>
            </w:r>
          </w:p>
          <w:p w:rsidR="00112DD6" w:rsidRPr="00D83863" w:rsidRDefault="00112DD6" w:rsidP="00B877B4">
            <w:pPr>
              <w:numPr>
                <w:ilvl w:val="0"/>
                <w:numId w:val="7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Maintain mandatory reporting in collaboration with the Program Manager.</w:t>
            </w:r>
          </w:p>
          <w:p w:rsidR="00112DD6" w:rsidRPr="00D83863" w:rsidRDefault="00112DD6" w:rsidP="00B877B4">
            <w:pPr>
              <w:tabs>
                <w:tab w:val="left" w:pos="333"/>
              </w:tabs>
              <w:ind w:left="333" w:hanging="284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•</w:t>
            </w:r>
            <w:r w:rsidRPr="00D83863">
              <w:rPr>
                <w:rFonts w:eastAsia="Calibri" w:cs="Times New Roman"/>
              </w:rPr>
              <w:tab/>
              <w:t>Implement relevant service standards to ensure quality service provision.</w:t>
            </w:r>
          </w:p>
          <w:p w:rsidR="00112DD6" w:rsidRPr="00D83863" w:rsidRDefault="00112DD6" w:rsidP="00B877B4">
            <w:pPr>
              <w:numPr>
                <w:ilvl w:val="0"/>
                <w:numId w:val="7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Undertake any other tasks as required.</w:t>
            </w:r>
          </w:p>
        </w:tc>
      </w:tr>
    </w:tbl>
    <w:p w:rsidR="005A74CB" w:rsidRPr="007C4B75" w:rsidRDefault="005A74CB" w:rsidP="005A74CB">
      <w:pPr>
        <w:ind w:left="-426"/>
        <w:rPr>
          <w:rFonts w:eastAsia="Times New Roman"/>
          <w:i/>
          <w:szCs w:val="24"/>
        </w:rPr>
      </w:pPr>
      <w:r w:rsidRPr="007C4B75">
        <w:rPr>
          <w:rFonts w:eastAsia="Times New Roman"/>
          <w:i/>
          <w:szCs w:val="24"/>
        </w:rPr>
        <w:t xml:space="preserve">This Position Description forms part of the performance management framework for </w:t>
      </w:r>
      <w:r w:rsidRPr="00E41B12">
        <w:rPr>
          <w:rFonts w:eastAsia="Times New Roman"/>
          <w:i/>
          <w:szCs w:val="24"/>
        </w:rPr>
        <w:t xml:space="preserve">the </w:t>
      </w:r>
      <w:r w:rsidR="00954F86">
        <w:rPr>
          <w:rFonts w:eastAsia="Times New Roman"/>
          <w:i/>
          <w:szCs w:val="24"/>
        </w:rPr>
        <w:t>Youth Support Worker</w:t>
      </w:r>
      <w:r w:rsidR="00E41B12" w:rsidRPr="00E41B12">
        <w:rPr>
          <w:rFonts w:eastAsia="Times New Roman"/>
          <w:i/>
          <w:szCs w:val="24"/>
        </w:rPr>
        <w:t xml:space="preserve"> </w:t>
      </w:r>
      <w:r w:rsidRPr="00E41B12">
        <w:rPr>
          <w:rFonts w:eastAsia="Times New Roman"/>
          <w:i/>
          <w:szCs w:val="24"/>
        </w:rPr>
        <w:t>position.</w:t>
      </w:r>
      <w:r w:rsidRPr="007C4B75">
        <w:rPr>
          <w:rFonts w:eastAsia="Times New Roman"/>
          <w:i/>
          <w:szCs w:val="24"/>
        </w:rPr>
        <w:t xml:space="preserve">  As the successful applicant, you are required to sign and date this Position Description to demonstrate your commitment to fulfil this role in accordance with the key result areas outlined above.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217"/>
        <w:gridCol w:w="1250"/>
        <w:gridCol w:w="3053"/>
        <w:gridCol w:w="993"/>
        <w:gridCol w:w="1134"/>
      </w:tblGrid>
      <w:tr w:rsidR="005A74CB" w:rsidTr="005A74CB">
        <w:tc>
          <w:tcPr>
            <w:tcW w:w="1844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Employee Name:</w:t>
            </w:r>
          </w:p>
        </w:tc>
        <w:tc>
          <w:tcPr>
            <w:tcW w:w="2217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</w:tr>
      <w:tr w:rsidR="005A74CB" w:rsidTr="005A74CB">
        <w:tc>
          <w:tcPr>
            <w:tcW w:w="1844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Managers Name:</w:t>
            </w:r>
          </w:p>
        </w:tc>
        <w:tc>
          <w:tcPr>
            <w:tcW w:w="2217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</w:tr>
    </w:tbl>
    <w:p w:rsidR="005A74CB" w:rsidRDefault="005A74CB"/>
    <w:sectPr w:rsidR="005A74CB" w:rsidSect="00D44474">
      <w:headerReference w:type="default" r:id="rId10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52" w:rsidRDefault="00A57652" w:rsidP="005A74CB">
      <w:pPr>
        <w:spacing w:after="0" w:line="240" w:lineRule="auto"/>
      </w:pPr>
      <w:r>
        <w:separator/>
      </w:r>
    </w:p>
  </w:endnote>
  <w:endnote w:type="continuationSeparator" w:id="0">
    <w:p w:rsidR="00A57652" w:rsidRDefault="00A57652" w:rsidP="005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52" w:rsidRDefault="00A57652" w:rsidP="005A74CB">
      <w:pPr>
        <w:spacing w:after="0" w:line="240" w:lineRule="auto"/>
      </w:pPr>
      <w:r>
        <w:separator/>
      </w:r>
    </w:p>
  </w:footnote>
  <w:footnote w:type="continuationSeparator" w:id="0">
    <w:p w:rsidR="00A57652" w:rsidRDefault="00A57652" w:rsidP="005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2" w:rsidRDefault="00C96B22" w:rsidP="00C96B22">
    <w:pPr>
      <w:pStyle w:val="Header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39"/>
    <w:multiLevelType w:val="hybridMultilevel"/>
    <w:tmpl w:val="12A219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06146D25"/>
    <w:multiLevelType w:val="hybridMultilevel"/>
    <w:tmpl w:val="E03A8C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09D15272"/>
    <w:multiLevelType w:val="hybridMultilevel"/>
    <w:tmpl w:val="325C46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1686ADA"/>
    <w:multiLevelType w:val="hybridMultilevel"/>
    <w:tmpl w:val="15B8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8673F"/>
    <w:multiLevelType w:val="hybridMultilevel"/>
    <w:tmpl w:val="D68A2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A6648"/>
    <w:multiLevelType w:val="hybridMultilevel"/>
    <w:tmpl w:val="3A1C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45634"/>
    <w:multiLevelType w:val="hybridMultilevel"/>
    <w:tmpl w:val="BA4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E74B3"/>
    <w:multiLevelType w:val="hybridMultilevel"/>
    <w:tmpl w:val="A726E22E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>
    <w:nsid w:val="361D30C6"/>
    <w:multiLevelType w:val="hybridMultilevel"/>
    <w:tmpl w:val="A524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54B9"/>
    <w:multiLevelType w:val="hybridMultilevel"/>
    <w:tmpl w:val="E3720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A2ABF"/>
    <w:multiLevelType w:val="hybridMultilevel"/>
    <w:tmpl w:val="9FD4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5FA"/>
    <w:multiLevelType w:val="hybridMultilevel"/>
    <w:tmpl w:val="F32E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8AF"/>
    <w:multiLevelType w:val="hybridMultilevel"/>
    <w:tmpl w:val="FF26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271B1"/>
    <w:multiLevelType w:val="hybridMultilevel"/>
    <w:tmpl w:val="CC8E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D6D61"/>
    <w:multiLevelType w:val="hybridMultilevel"/>
    <w:tmpl w:val="7F42A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6"/>
    <w:rsid w:val="000F034E"/>
    <w:rsid w:val="00100900"/>
    <w:rsid w:val="00112DD6"/>
    <w:rsid w:val="001405D7"/>
    <w:rsid w:val="001C347C"/>
    <w:rsid w:val="0021554D"/>
    <w:rsid w:val="00334645"/>
    <w:rsid w:val="003C06EA"/>
    <w:rsid w:val="00433129"/>
    <w:rsid w:val="00486C56"/>
    <w:rsid w:val="0050524A"/>
    <w:rsid w:val="005A74CB"/>
    <w:rsid w:val="0076514E"/>
    <w:rsid w:val="00774243"/>
    <w:rsid w:val="007C3C9F"/>
    <w:rsid w:val="007D44F1"/>
    <w:rsid w:val="00810E3A"/>
    <w:rsid w:val="00816E90"/>
    <w:rsid w:val="008676A1"/>
    <w:rsid w:val="009364A1"/>
    <w:rsid w:val="00954F86"/>
    <w:rsid w:val="00A33AC2"/>
    <w:rsid w:val="00A57652"/>
    <w:rsid w:val="00B451D1"/>
    <w:rsid w:val="00B6163B"/>
    <w:rsid w:val="00B877B4"/>
    <w:rsid w:val="00B942D7"/>
    <w:rsid w:val="00C13737"/>
    <w:rsid w:val="00C96B22"/>
    <w:rsid w:val="00CE7514"/>
    <w:rsid w:val="00D12F33"/>
    <w:rsid w:val="00D42ABC"/>
    <w:rsid w:val="00D44474"/>
    <w:rsid w:val="00D766E6"/>
    <w:rsid w:val="00DB3500"/>
    <w:rsid w:val="00E41B12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5AFF-148E-44BE-8C9D-FABEBD1E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Youth Service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 Johnson</dc:creator>
  <cp:lastModifiedBy>Jullie Johnson</cp:lastModifiedBy>
  <cp:revision>4</cp:revision>
  <dcterms:created xsi:type="dcterms:W3CDTF">2017-05-18T07:39:00Z</dcterms:created>
  <dcterms:modified xsi:type="dcterms:W3CDTF">2017-05-19T03:35:00Z</dcterms:modified>
</cp:coreProperties>
</file>