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998"/>
        <w:gridCol w:w="696"/>
        <w:gridCol w:w="2126"/>
        <w:gridCol w:w="1521"/>
        <w:gridCol w:w="180"/>
        <w:gridCol w:w="1755"/>
        <w:gridCol w:w="2356"/>
      </w:tblGrid>
      <w:tr w:rsidR="00C96B22" w:rsidTr="00C101C3"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C101C3" w:rsidP="00A62D97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657BE9" wp14:editId="394F8265">
                  <wp:extent cx="1131277" cy="845953"/>
                  <wp:effectExtent l="0" t="0" r="0" b="0"/>
                  <wp:docPr id="3" name="Picture 3" descr="C:\Users\jjohnson\Desktop\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ohnson\Desktop\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10" cy="84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C101C3" w:rsidRDefault="00C101C3" w:rsidP="00A62D97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</w:t>
            </w:r>
            <w:r w:rsidR="00C96B22" w:rsidRPr="00C101C3">
              <w:rPr>
                <w:b/>
                <w:sz w:val="40"/>
                <w:szCs w:val="40"/>
              </w:rPr>
              <w:t>POSITION DESCRIPTION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Position title:</w:t>
            </w:r>
          </w:p>
        </w:tc>
        <w:tc>
          <w:tcPr>
            <w:tcW w:w="7938" w:type="dxa"/>
            <w:gridSpan w:val="5"/>
            <w:vAlign w:val="center"/>
          </w:tcPr>
          <w:p w:rsidR="00D766E6" w:rsidRPr="00D766E6" w:rsidRDefault="00C101C3" w:rsidP="00A62D97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Casual </w:t>
            </w:r>
            <w:r w:rsidR="00CF3019">
              <w:rPr>
                <w:rFonts w:eastAsia="Calibri" w:cs="Times New Roman"/>
              </w:rPr>
              <w:t xml:space="preserve">Residential </w:t>
            </w:r>
            <w:r>
              <w:rPr>
                <w:rFonts w:eastAsia="Calibri" w:cs="Times New Roman"/>
              </w:rPr>
              <w:t>Youth</w:t>
            </w:r>
            <w:r w:rsidR="00B03B78">
              <w:rPr>
                <w:rFonts w:eastAsia="Calibri" w:cs="Times New Roman"/>
              </w:rPr>
              <w:t xml:space="preserve"> Worker</w:t>
            </w:r>
            <w:r>
              <w:rPr>
                <w:rFonts w:eastAsia="Calibri" w:cs="Times New Roman"/>
              </w:rPr>
              <w:t xml:space="preserve"> (relief work)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Program/Team:</w:t>
            </w:r>
          </w:p>
        </w:tc>
        <w:tc>
          <w:tcPr>
            <w:tcW w:w="7938" w:type="dxa"/>
            <w:gridSpan w:val="5"/>
            <w:vAlign w:val="center"/>
          </w:tcPr>
          <w:p w:rsidR="00D766E6" w:rsidRPr="00D766E6" w:rsidRDefault="008D3209" w:rsidP="00A62D97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Windsor House; PIF House; Sandgate House; Nundah House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44474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Employment type &amp; hours</w:t>
            </w:r>
          </w:p>
        </w:tc>
        <w:tc>
          <w:tcPr>
            <w:tcW w:w="7938" w:type="dxa"/>
            <w:gridSpan w:val="5"/>
            <w:vAlign w:val="center"/>
          </w:tcPr>
          <w:p w:rsidR="00D766E6" w:rsidRPr="00D766E6" w:rsidRDefault="00CF3019" w:rsidP="00A62D97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Shift work</w:t>
            </w:r>
            <w:r w:rsidR="000933BD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/</w:t>
            </w:r>
            <w:r w:rsidR="000933BD">
              <w:rPr>
                <w:rFonts w:eastAsia="Calibri" w:cs="Times New Roman"/>
              </w:rPr>
              <w:t xml:space="preserve"> </w:t>
            </w:r>
            <w:r w:rsidR="005A671D">
              <w:rPr>
                <w:rFonts w:eastAsia="Calibri" w:cs="Times New Roman"/>
              </w:rPr>
              <w:t>Casual</w:t>
            </w:r>
          </w:p>
        </w:tc>
      </w:tr>
      <w:tr w:rsidR="00636F6B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F6B" w:rsidRPr="00D44474" w:rsidRDefault="00636F6B" w:rsidP="00A62D97">
            <w:pPr>
              <w:spacing w:before="40" w:after="4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Award conditions:</w:t>
            </w:r>
          </w:p>
        </w:tc>
        <w:tc>
          <w:tcPr>
            <w:tcW w:w="2126" w:type="dxa"/>
            <w:vAlign w:val="center"/>
          </w:tcPr>
          <w:p w:rsidR="00636F6B" w:rsidRPr="008D3209" w:rsidRDefault="00467B24" w:rsidP="00A62D97">
            <w:pPr>
              <w:spacing w:before="40" w:after="40"/>
              <w:rPr>
                <w:rFonts w:eastAsia="Calibri" w:cs="Times New Roman"/>
              </w:rPr>
            </w:pPr>
            <w:r>
              <w:t>SCHADS</w:t>
            </w:r>
            <w:r w:rsidR="00CF3019">
              <w:t xml:space="preserve"> Award 2010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36F6B" w:rsidRPr="00D766E6" w:rsidRDefault="00636F6B" w:rsidP="00A62D97">
            <w:pPr>
              <w:spacing w:before="40" w:after="40"/>
              <w:rPr>
                <w:rFonts w:eastAsia="Calibri" w:cs="Times New Roman"/>
              </w:rPr>
            </w:pPr>
            <w:r w:rsidRPr="00D44474">
              <w:rPr>
                <w:b/>
              </w:rPr>
              <w:t>Remuneration:</w:t>
            </w:r>
          </w:p>
        </w:tc>
        <w:tc>
          <w:tcPr>
            <w:tcW w:w="4111" w:type="dxa"/>
            <w:gridSpan w:val="2"/>
            <w:vAlign w:val="center"/>
          </w:tcPr>
          <w:p w:rsidR="00636F6B" w:rsidRPr="00D766E6" w:rsidRDefault="00C57E51" w:rsidP="00442576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TPEO </w:t>
            </w:r>
            <w:r w:rsidR="00467B24">
              <w:rPr>
                <w:rFonts w:eastAsia="Calibri" w:cs="Times New Roman"/>
              </w:rPr>
              <w:t xml:space="preserve">Level </w:t>
            </w:r>
            <w:r w:rsidR="00A22ACF">
              <w:rPr>
                <w:rFonts w:eastAsia="Calibri" w:cs="Times New Roman"/>
              </w:rPr>
              <w:t>1</w:t>
            </w:r>
            <w:r w:rsidR="00442576">
              <w:rPr>
                <w:rFonts w:eastAsia="Calibri" w:cs="Times New Roman"/>
              </w:rPr>
              <w:t>.</w:t>
            </w:r>
            <w:r w:rsidR="00467B24">
              <w:rPr>
                <w:rFonts w:eastAsia="Calibri" w:cs="Times New Roman"/>
              </w:rPr>
              <w:t>1 Community Service Worker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 xml:space="preserve">Working from: </w:t>
            </w:r>
          </w:p>
        </w:tc>
        <w:tc>
          <w:tcPr>
            <w:tcW w:w="7938" w:type="dxa"/>
            <w:gridSpan w:val="5"/>
            <w:vAlign w:val="center"/>
          </w:tcPr>
          <w:p w:rsidR="00D766E6" w:rsidRPr="00D766E6" w:rsidRDefault="003826A9" w:rsidP="00A62D97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various</w:t>
            </w:r>
            <w:r w:rsidR="00B27364">
              <w:rPr>
                <w:rFonts w:eastAsia="Calibri" w:cs="Times New Roman"/>
              </w:rPr>
              <w:t xml:space="preserve"> locations - </w:t>
            </w:r>
            <w:r w:rsidR="00CF3019">
              <w:rPr>
                <w:rFonts w:eastAsia="Calibri" w:cs="Times New Roman"/>
              </w:rPr>
              <w:t>Windsor, Sandgate</w:t>
            </w:r>
            <w:r w:rsidR="00B27364">
              <w:rPr>
                <w:rFonts w:eastAsia="Calibri" w:cs="Times New Roman"/>
              </w:rPr>
              <w:t>, Carina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Reporting relationship:</w:t>
            </w:r>
          </w:p>
        </w:tc>
        <w:tc>
          <w:tcPr>
            <w:tcW w:w="7938" w:type="dxa"/>
            <w:gridSpan w:val="5"/>
            <w:vAlign w:val="center"/>
          </w:tcPr>
          <w:p w:rsidR="00D44474" w:rsidRPr="00D766E6" w:rsidRDefault="003826A9" w:rsidP="00A62D9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lang w:eastAsia="en-AU"/>
              </w:rPr>
            </w:pPr>
            <w:r>
              <w:rPr>
                <w:rFonts w:cs="Arial"/>
                <w:bCs/>
                <w:iCs/>
              </w:rPr>
              <w:t xml:space="preserve">Casual </w:t>
            </w:r>
            <w:r w:rsidR="00B27364">
              <w:rPr>
                <w:rFonts w:cs="Arial"/>
                <w:bCs/>
                <w:iCs/>
              </w:rPr>
              <w:t xml:space="preserve">Residential </w:t>
            </w:r>
            <w:r w:rsidR="00C101C3">
              <w:rPr>
                <w:rFonts w:cs="Arial"/>
                <w:bCs/>
                <w:iCs/>
              </w:rPr>
              <w:t>Youth</w:t>
            </w:r>
            <w:r w:rsidR="00B03B78" w:rsidRPr="00321CC4">
              <w:rPr>
                <w:rFonts w:cs="Arial"/>
                <w:bCs/>
                <w:iCs/>
              </w:rPr>
              <w:t xml:space="preserve"> Worker</w:t>
            </w:r>
            <w:r>
              <w:rPr>
                <w:rFonts w:cs="Arial"/>
                <w:bCs/>
                <w:iCs/>
              </w:rPr>
              <w:t>s are</w:t>
            </w:r>
            <w:r w:rsidR="00B27364">
              <w:rPr>
                <w:rFonts w:cs="Arial"/>
                <w:bCs/>
                <w:iCs/>
              </w:rPr>
              <w:t xml:space="preserve"> responsible to</w:t>
            </w:r>
            <w:r w:rsidR="00B03B78" w:rsidRPr="00321CC4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the site Residential </w:t>
            </w:r>
            <w:r w:rsidR="00B27364">
              <w:rPr>
                <w:rFonts w:cs="Arial"/>
                <w:bCs/>
                <w:iCs/>
              </w:rPr>
              <w:t>Program Manager</w:t>
            </w:r>
          </w:p>
        </w:tc>
      </w:tr>
      <w:tr w:rsidR="003826A9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6A9" w:rsidRPr="00D44474" w:rsidRDefault="003826A9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Qualifying period:</w:t>
            </w:r>
          </w:p>
        </w:tc>
        <w:tc>
          <w:tcPr>
            <w:tcW w:w="3647" w:type="dxa"/>
            <w:gridSpan w:val="2"/>
            <w:vAlign w:val="center"/>
          </w:tcPr>
          <w:p w:rsidR="003826A9" w:rsidRPr="00D766E6" w:rsidRDefault="003826A9" w:rsidP="00A62D97">
            <w:pPr>
              <w:spacing w:before="40" w:after="40"/>
              <w:rPr>
                <w:rFonts w:eastAsia="Calibri" w:cs="Times New Roman"/>
              </w:rPr>
            </w:pPr>
            <w:r>
              <w:t xml:space="preserve">6 months 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3826A9" w:rsidRPr="00D44474" w:rsidRDefault="003826A9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rFonts w:eastAsia="Calibri" w:cs="Times New Roman"/>
                <w:b/>
              </w:rPr>
              <w:t>Last review of PD:</w:t>
            </w:r>
          </w:p>
        </w:tc>
        <w:tc>
          <w:tcPr>
            <w:tcW w:w="2356" w:type="dxa"/>
            <w:vAlign w:val="center"/>
          </w:tcPr>
          <w:p w:rsidR="003826A9" w:rsidRPr="00D766E6" w:rsidRDefault="003826A9" w:rsidP="00A62D97">
            <w:pPr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February 2016</w:t>
            </w:r>
          </w:p>
        </w:tc>
      </w:tr>
      <w:tr w:rsidR="00D766E6" w:rsidTr="00C57E5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A62D97">
            <w:pPr>
              <w:spacing w:before="40" w:after="4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Primary purpose of position: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D44474" w:rsidRPr="00D766E6" w:rsidRDefault="000933BD" w:rsidP="00A62D9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 w:cs="Times New Roman"/>
              </w:rPr>
            </w:pPr>
            <w:r>
              <w:rPr>
                <w:rFonts w:cs="Arial"/>
                <w:bCs/>
                <w:iCs/>
              </w:rPr>
              <w:t xml:space="preserve">Casual Residential </w:t>
            </w:r>
            <w:r w:rsidR="00C101C3">
              <w:rPr>
                <w:rFonts w:cs="Arial"/>
                <w:bCs/>
                <w:iCs/>
              </w:rPr>
              <w:t>Youth</w:t>
            </w:r>
            <w:r w:rsidR="00B03B78" w:rsidRPr="00321CC4">
              <w:rPr>
                <w:rFonts w:cs="Arial"/>
                <w:bCs/>
                <w:iCs/>
              </w:rPr>
              <w:t xml:space="preserve"> Worker</w:t>
            </w:r>
            <w:r>
              <w:rPr>
                <w:rFonts w:cs="Arial"/>
                <w:bCs/>
                <w:iCs/>
              </w:rPr>
              <w:t>s are required to backfill positions that</w:t>
            </w:r>
            <w:r w:rsidR="00B03B78" w:rsidRPr="00321CC4">
              <w:rPr>
                <w:rFonts w:cs="Arial"/>
                <w:bCs/>
                <w:iCs/>
              </w:rPr>
              <w:t xml:space="preserve"> provide </w:t>
            </w:r>
            <w:r w:rsidR="008D3209">
              <w:rPr>
                <w:rFonts w:cs="Arial"/>
                <w:bCs/>
                <w:iCs/>
              </w:rPr>
              <w:t xml:space="preserve">young people with safe and appropriate accommodation, case management, support, advocacy, and information to assist </w:t>
            </w:r>
            <w:r>
              <w:rPr>
                <w:rFonts w:cs="Arial"/>
                <w:bCs/>
                <w:iCs/>
              </w:rPr>
              <w:t>young people to make</w:t>
            </w:r>
            <w:r w:rsidR="008D3209">
              <w:rPr>
                <w:rFonts w:cs="Arial"/>
                <w:bCs/>
                <w:iCs/>
              </w:rPr>
              <w:t xml:space="preserve"> informed choices about their lives</w:t>
            </w:r>
            <w:r>
              <w:rPr>
                <w:rFonts w:cs="Arial"/>
                <w:bCs/>
                <w:iCs/>
              </w:rPr>
              <w:t>.</w:t>
            </w:r>
          </w:p>
        </w:tc>
      </w:tr>
      <w:tr w:rsidR="00D766E6" w:rsidRPr="00D766E6" w:rsidTr="00C101C3">
        <w:tc>
          <w:tcPr>
            <w:tcW w:w="10632" w:type="dxa"/>
            <w:gridSpan w:val="7"/>
            <w:shd w:val="clear" w:color="auto" w:fill="D9D9D9" w:themeFill="background1" w:themeFillShade="D9"/>
          </w:tcPr>
          <w:p w:rsidR="00D766E6" w:rsidRPr="00D766E6" w:rsidRDefault="00D766E6" w:rsidP="00A62D97">
            <w:pPr>
              <w:spacing w:before="40" w:after="40"/>
              <w:rPr>
                <w:b/>
                <w:sz w:val="28"/>
                <w:szCs w:val="28"/>
              </w:rPr>
            </w:pPr>
            <w:r w:rsidRPr="00D766E6">
              <w:rPr>
                <w:b/>
                <w:sz w:val="28"/>
                <w:szCs w:val="28"/>
              </w:rPr>
              <w:t>SELECTION CRITERIA</w:t>
            </w:r>
            <w:r w:rsidR="005A74CB">
              <w:rPr>
                <w:b/>
                <w:sz w:val="28"/>
                <w:szCs w:val="28"/>
              </w:rPr>
              <w:t xml:space="preserve"> - </w:t>
            </w:r>
            <w:r w:rsidR="005A74CB">
              <w:t xml:space="preserve">Applicants shall be assessed against these selection criteria.  Applicants need to provide written responses to the selection criteria below of no more than </w:t>
            </w:r>
            <w:r w:rsidR="00610D5F">
              <w:t>two</w:t>
            </w:r>
            <w:r w:rsidR="005A74CB">
              <w:t xml:space="preserve"> pages</w:t>
            </w:r>
            <w:r w:rsidR="00610D5F">
              <w:t xml:space="preserve"> in total</w:t>
            </w:r>
            <w:r w:rsidR="005A74CB">
              <w:t>.</w:t>
            </w:r>
          </w:p>
        </w:tc>
      </w:tr>
      <w:tr w:rsidR="00D766E6" w:rsidTr="00C101C3">
        <w:tc>
          <w:tcPr>
            <w:tcW w:w="1998" w:type="dxa"/>
          </w:tcPr>
          <w:p w:rsidR="00D766E6" w:rsidRPr="00D766E6" w:rsidRDefault="00732CB9" w:rsidP="00A62D97">
            <w:pPr>
              <w:spacing w:before="40" w:after="40"/>
              <w:rPr>
                <w:rFonts w:eastAsia="Calibri" w:cs="Times New Roman"/>
                <w:lang w:val="en-US"/>
              </w:rPr>
            </w:pPr>
            <w:r>
              <w:rPr>
                <w:lang w:val="en-US"/>
              </w:rPr>
              <w:t>SELECTION CRITERIA</w:t>
            </w:r>
          </w:p>
        </w:tc>
        <w:tc>
          <w:tcPr>
            <w:tcW w:w="8634" w:type="dxa"/>
            <w:gridSpan w:val="6"/>
          </w:tcPr>
          <w:p w:rsidR="00732CB9" w:rsidRDefault="00732CB9" w:rsidP="00A62D97">
            <w:pPr>
              <w:pStyle w:val="ListParagraph"/>
              <w:framePr w:hSpace="180" w:wrap="around" w:vAnchor="text" w:hAnchor="margin" w:x="-68" w:y="412"/>
              <w:numPr>
                <w:ilvl w:val="0"/>
                <w:numId w:val="19"/>
              </w:numPr>
              <w:tabs>
                <w:tab w:val="left" w:pos="311"/>
              </w:tabs>
              <w:spacing w:before="40" w:after="40"/>
              <w:ind w:left="317" w:hanging="284"/>
              <w:contextualSpacing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Demonstrated experience working with young people with high and complex needs and an understanding of the issues and challenges in responding to their needs </w:t>
            </w:r>
          </w:p>
          <w:p w:rsidR="00C101C3" w:rsidRPr="00732CB9" w:rsidRDefault="00C101C3" w:rsidP="00A62D9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rPr>
                <w:rFonts w:cs="Arial"/>
              </w:rPr>
            </w:pPr>
            <w:r>
              <w:t>Ability to provide brief solution focussed crisis interventions and ongoing case managed support</w:t>
            </w:r>
          </w:p>
          <w:p w:rsidR="00C101C3" w:rsidRPr="00732CB9" w:rsidRDefault="00C101C3" w:rsidP="00A62D97">
            <w:pPr>
              <w:pStyle w:val="ListParagraph"/>
              <w:numPr>
                <w:ilvl w:val="0"/>
                <w:numId w:val="19"/>
              </w:numPr>
              <w:tabs>
                <w:tab w:val="left" w:pos="311"/>
              </w:tabs>
              <w:spacing w:before="40" w:after="40"/>
              <w:ind w:left="317" w:hanging="284"/>
              <w:contextualSpacing w:val="0"/>
              <w:rPr>
                <w:rFonts w:eastAsia="Calibri" w:cs="Times New Roman"/>
              </w:rPr>
            </w:pPr>
            <w:r w:rsidRPr="00732CB9">
              <w:rPr>
                <w:rFonts w:eastAsia="Calibri" w:cs="Times New Roman"/>
              </w:rPr>
              <w:t>Strong communication skills, including oral and written skills</w:t>
            </w:r>
            <w:r w:rsidR="00B42E45">
              <w:rPr>
                <w:rFonts w:eastAsia="Calibri" w:cs="Times New Roman"/>
              </w:rPr>
              <w:t xml:space="preserve">, writing report and case files, collaborating with community services, </w:t>
            </w:r>
            <w:r>
              <w:rPr>
                <w:rFonts w:eastAsia="Calibri" w:cs="Times New Roman"/>
              </w:rPr>
              <w:t xml:space="preserve"> and the ability to liaise effectively with young people and advocate on their behalf</w:t>
            </w:r>
          </w:p>
          <w:p w:rsidR="00C101C3" w:rsidRPr="00C101C3" w:rsidRDefault="00C101C3" w:rsidP="00A62D9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rPr>
                <w:rFonts w:cs="Arial"/>
              </w:rPr>
            </w:pPr>
            <w:r>
              <w:t>Strong</w:t>
            </w:r>
            <w:r w:rsidR="00610D5F" w:rsidRPr="00C540E8">
              <w:t xml:space="preserve"> planning and organisational skills</w:t>
            </w:r>
            <w:r>
              <w:t xml:space="preserve"> and the ability to work </w:t>
            </w:r>
            <w:r w:rsidR="00F761DA">
              <w:t>solo shifts</w:t>
            </w:r>
            <w:r>
              <w:t xml:space="preserve"> in a residential setting </w:t>
            </w:r>
          </w:p>
          <w:p w:rsidR="00732CB9" w:rsidRPr="00732CB9" w:rsidRDefault="00B42E45" w:rsidP="00A62D9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</w:pPr>
            <w:r>
              <w:t>Ability to respond quickly in a crisis situation and make appropriate decisions to ensure the safety of young people, yourself and / or other staff.</w:t>
            </w:r>
          </w:p>
        </w:tc>
      </w:tr>
      <w:tr w:rsidR="00732CB9" w:rsidTr="00C101C3">
        <w:tc>
          <w:tcPr>
            <w:tcW w:w="1998" w:type="dxa"/>
          </w:tcPr>
          <w:p w:rsidR="00732CB9" w:rsidRDefault="00732CB9" w:rsidP="00A62D9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Qualifications, Checks and References</w:t>
            </w:r>
          </w:p>
          <w:p w:rsidR="00732CB9" w:rsidRDefault="00732CB9" w:rsidP="00A62D97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(Mandatory)</w:t>
            </w:r>
          </w:p>
        </w:tc>
        <w:tc>
          <w:tcPr>
            <w:tcW w:w="8634" w:type="dxa"/>
            <w:gridSpan w:val="6"/>
          </w:tcPr>
          <w:p w:rsidR="00C57E51" w:rsidRDefault="00732CB9" w:rsidP="00A62D97">
            <w:pPr>
              <w:widowControl w:val="0"/>
              <w:numPr>
                <w:ilvl w:val="0"/>
                <w:numId w:val="13"/>
              </w:numPr>
              <w:tabs>
                <w:tab w:val="clear" w:pos="851"/>
                <w:tab w:val="num" w:pos="317"/>
              </w:tabs>
              <w:spacing w:before="40" w:after="40"/>
              <w:ind w:left="304" w:hanging="270"/>
            </w:pPr>
            <w:r>
              <w:t xml:space="preserve">A tertiary qualification in </w:t>
            </w:r>
            <w:r w:rsidR="00C57E51">
              <w:t xml:space="preserve">Youth Work, </w:t>
            </w:r>
            <w:r>
              <w:t xml:space="preserve">Human Services, </w:t>
            </w:r>
            <w:r w:rsidR="00C57E51">
              <w:t xml:space="preserve">Social Work or similar </w:t>
            </w:r>
          </w:p>
          <w:p w:rsidR="00732CB9" w:rsidRDefault="00C57E51" w:rsidP="00A62D97">
            <w:pPr>
              <w:widowControl w:val="0"/>
              <w:numPr>
                <w:ilvl w:val="0"/>
                <w:numId w:val="13"/>
              </w:numPr>
              <w:tabs>
                <w:tab w:val="clear" w:pos="851"/>
                <w:tab w:val="num" w:pos="317"/>
              </w:tabs>
              <w:spacing w:before="40" w:after="40"/>
              <w:ind w:left="304" w:hanging="270"/>
            </w:pPr>
            <w:r>
              <w:t xml:space="preserve">A minimum of </w:t>
            </w:r>
            <w:r w:rsidR="00F761DA">
              <w:t xml:space="preserve">five years’ </w:t>
            </w:r>
            <w:r w:rsidR="00732CB9">
              <w:t xml:space="preserve">experience in </w:t>
            </w:r>
            <w:r w:rsidR="00F761DA">
              <w:t xml:space="preserve">a </w:t>
            </w:r>
            <w:r w:rsidR="00732CB9">
              <w:t>similar</w:t>
            </w:r>
            <w:r w:rsidR="00F761DA">
              <w:t xml:space="preserve"> role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13"/>
              </w:numPr>
              <w:tabs>
                <w:tab w:val="clear" w:pos="851"/>
                <w:tab w:val="num" w:pos="317"/>
              </w:tabs>
              <w:spacing w:before="40" w:after="40"/>
              <w:ind w:left="601" w:hanging="567"/>
            </w:pPr>
            <w:r>
              <w:t>A</w:t>
            </w:r>
            <w:r w:rsidRPr="008D3209">
              <w:t xml:space="preserve"> current “C” </w:t>
            </w:r>
            <w:r>
              <w:t>class Queensland driver’s licenc</w:t>
            </w:r>
            <w:r w:rsidRPr="008D3209">
              <w:t>e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13"/>
              </w:numPr>
              <w:tabs>
                <w:tab w:val="clear" w:pos="851"/>
                <w:tab w:val="num" w:pos="317"/>
              </w:tabs>
              <w:spacing w:before="40" w:after="40"/>
              <w:ind w:left="601" w:hanging="567"/>
              <w:contextualSpacing w:val="0"/>
            </w:pPr>
            <w:r>
              <w:t>Working with Children Suitability positive notice (Blue Card)</w:t>
            </w:r>
          </w:p>
          <w:p w:rsidR="00732CB9" w:rsidRPr="00293064" w:rsidRDefault="00732CB9" w:rsidP="00A62D97">
            <w:pPr>
              <w:widowControl w:val="0"/>
              <w:numPr>
                <w:ilvl w:val="0"/>
                <w:numId w:val="13"/>
              </w:numPr>
              <w:tabs>
                <w:tab w:val="clear" w:pos="851"/>
                <w:tab w:val="num" w:pos="317"/>
                <w:tab w:val="left" w:pos="993"/>
              </w:tabs>
              <w:autoSpaceDE w:val="0"/>
              <w:autoSpaceDN w:val="0"/>
              <w:adjustRightInd w:val="0"/>
              <w:spacing w:before="40" w:after="40"/>
              <w:ind w:left="850" w:hanging="816"/>
              <w:rPr>
                <w:rFonts w:cs="Arial"/>
              </w:rPr>
            </w:pPr>
            <w:r>
              <w:t>Provide three relevant referees, including current or most recent manager</w:t>
            </w:r>
          </w:p>
        </w:tc>
      </w:tr>
      <w:tr w:rsidR="00732CB9" w:rsidTr="00C101C3">
        <w:tc>
          <w:tcPr>
            <w:tcW w:w="1998" w:type="dxa"/>
          </w:tcPr>
          <w:p w:rsidR="00732CB9" w:rsidRPr="00D766E6" w:rsidRDefault="00732CB9" w:rsidP="00A62D97">
            <w:pPr>
              <w:spacing w:before="40" w:after="40"/>
              <w:rPr>
                <w:rFonts w:eastAsia="Calibri" w:cs="Times New Roman"/>
              </w:rPr>
            </w:pPr>
            <w:r>
              <w:t>Experience</w:t>
            </w:r>
          </w:p>
        </w:tc>
        <w:tc>
          <w:tcPr>
            <w:tcW w:w="8634" w:type="dxa"/>
            <w:gridSpan w:val="6"/>
          </w:tcPr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left="311" w:hanging="283"/>
              <w:contextualSpacing w:val="0"/>
            </w:pPr>
            <w:r>
              <w:t>Experience building trusting working relationships with marginalised young people and providing targeted interventions</w:t>
            </w:r>
          </w:p>
          <w:p w:rsidR="00732CB9" w:rsidRPr="00C51724" w:rsidRDefault="00B42E45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left="311" w:hanging="283"/>
              <w:contextualSpacing w:val="0"/>
            </w:pPr>
            <w:r>
              <w:t>Ability to facilitate individual and group</w:t>
            </w:r>
            <w:r w:rsidR="00732CB9" w:rsidRPr="00C51724">
              <w:t xml:space="preserve"> activities providing positive engagement</w:t>
            </w:r>
            <w:r>
              <w:t xml:space="preserve"> with young people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left="311" w:hanging="283"/>
              <w:contextualSpacing w:val="0"/>
            </w:pPr>
            <w:r>
              <w:t>Experience developing networks and collaborative relationships with internal and external service providers</w:t>
            </w:r>
          </w:p>
          <w:p w:rsidR="00B42E45" w:rsidRPr="00B42E45" w:rsidRDefault="00B42E45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left="311" w:hanging="283"/>
              <w:contextualSpacing w:val="0"/>
            </w:pPr>
            <w:r>
              <w:t>Experience using client management systems, case file notations and Microsoft products</w:t>
            </w:r>
          </w:p>
        </w:tc>
      </w:tr>
      <w:tr w:rsidR="00732CB9" w:rsidTr="00C101C3">
        <w:trPr>
          <w:trHeight w:val="558"/>
        </w:trPr>
        <w:tc>
          <w:tcPr>
            <w:tcW w:w="1998" w:type="dxa"/>
            <w:tcBorders>
              <w:bottom w:val="single" w:sz="4" w:space="0" w:color="auto"/>
            </w:tcBorders>
          </w:tcPr>
          <w:p w:rsidR="00732CB9" w:rsidRDefault="00732CB9" w:rsidP="00A62D97">
            <w:pPr>
              <w:spacing w:before="40" w:after="40"/>
            </w:pPr>
            <w:r>
              <w:t>Attributes</w:t>
            </w: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</w:tcPr>
          <w:p w:rsidR="00732CB9" w:rsidRPr="00486C56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hanging="720"/>
              <w:contextualSpacing w:val="0"/>
            </w:pPr>
            <w:r w:rsidRPr="00486C56">
              <w:t>Understanding of and commitment to BYS vision, ob</w:t>
            </w:r>
            <w:r>
              <w:t>jectives and Practice Framework</w:t>
            </w:r>
          </w:p>
          <w:p w:rsidR="00732CB9" w:rsidRP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hanging="720"/>
              <w:contextualSpacing w:val="0"/>
              <w:rPr>
                <w:rFonts w:eastAsia="Calibri" w:cs="Times New Roman"/>
              </w:rPr>
            </w:pPr>
            <w:r w:rsidRPr="00732CB9">
              <w:rPr>
                <w:rFonts w:eastAsia="Calibri" w:cs="Times New Roman"/>
              </w:rPr>
              <w:t>Self-reflective and critical thinking skills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hanging="72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Personal drive and integrity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hanging="72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Consultative and collaborative working attitude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hanging="720"/>
              <w:contextualSpacing w:val="0"/>
              <w:rPr>
                <w:rFonts w:eastAsia="Calibri"/>
              </w:rPr>
            </w:pPr>
            <w:r>
              <w:t>Flexible, self-directing, inclusive, respectful, ethical, accountable.</w:t>
            </w:r>
          </w:p>
          <w:p w:rsidR="00732CB9" w:rsidRPr="00367692" w:rsidRDefault="00732CB9" w:rsidP="00A62D97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hanging="720"/>
              <w:rPr>
                <w:rFonts w:cs="Arial"/>
              </w:rPr>
            </w:pPr>
            <w:r>
              <w:t>Commitment to a learning culture and ongoing professional development</w:t>
            </w:r>
          </w:p>
        </w:tc>
      </w:tr>
    </w:tbl>
    <w:p w:rsidR="00C57E51" w:rsidRDefault="00C57E51">
      <w:r>
        <w:lastRenderedPageBreak/>
        <w:br w:type="page"/>
      </w:r>
      <w:bookmarkStart w:id="0" w:name="_GoBack"/>
      <w:bookmarkEnd w:id="0"/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998"/>
        <w:gridCol w:w="8634"/>
      </w:tblGrid>
      <w:tr w:rsidR="00732CB9" w:rsidTr="00C101C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732CB9" w:rsidRPr="003F6A61" w:rsidRDefault="00732CB9" w:rsidP="00A62D97">
            <w:pPr>
              <w:spacing w:before="40" w:after="40"/>
              <w:rPr>
                <w:sz w:val="28"/>
                <w:szCs w:val="28"/>
              </w:rPr>
            </w:pPr>
            <w:r>
              <w:br w:type="page"/>
            </w:r>
            <w:r w:rsidRPr="004D2E67">
              <w:rPr>
                <w:b/>
                <w:sz w:val="28"/>
                <w:szCs w:val="28"/>
              </w:rPr>
              <w:t>KEY RESULT AREAS – Roles and responsibilities</w:t>
            </w:r>
          </w:p>
        </w:tc>
      </w:tr>
      <w:tr w:rsidR="00732CB9" w:rsidTr="00C101C3">
        <w:tc>
          <w:tcPr>
            <w:tcW w:w="1998" w:type="dxa"/>
          </w:tcPr>
          <w:p w:rsidR="00732CB9" w:rsidRDefault="00732CB9" w:rsidP="00A62D97">
            <w:pPr>
              <w:spacing w:before="40" w:after="40"/>
            </w:pPr>
            <w:r>
              <w:t>Service Delivery</w:t>
            </w:r>
          </w:p>
        </w:tc>
        <w:tc>
          <w:tcPr>
            <w:tcW w:w="8634" w:type="dxa"/>
          </w:tcPr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7" w:hanging="283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D3209">
              <w:rPr>
                <w:rFonts w:cs="Arial"/>
              </w:rPr>
              <w:t xml:space="preserve">rovide safe and appropriate accommodation </w:t>
            </w:r>
            <w:r>
              <w:rPr>
                <w:rFonts w:cs="Arial"/>
              </w:rPr>
              <w:t xml:space="preserve">and support </w:t>
            </w:r>
            <w:r w:rsidRPr="008D3209">
              <w:rPr>
                <w:rFonts w:cs="Arial"/>
              </w:rPr>
              <w:t>to young people and respond to their needs by providing supervision, emotional support, social and living skills development, recreational opportunities, conflict resolution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7" w:hanging="283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8D3209">
              <w:rPr>
                <w:rFonts w:cs="Arial"/>
              </w:rPr>
              <w:t>upport young people in achieving their defined goals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7" w:hanging="283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8D3209">
              <w:rPr>
                <w:rFonts w:cs="Arial"/>
              </w:rPr>
              <w:t xml:space="preserve">ssist </w:t>
            </w:r>
            <w:r>
              <w:rPr>
                <w:rFonts w:cs="Arial"/>
              </w:rPr>
              <w:t>in implementing</w:t>
            </w:r>
            <w:r w:rsidRPr="008D3209">
              <w:rPr>
                <w:rFonts w:cs="Arial"/>
              </w:rPr>
              <w:t xml:space="preserve"> structured and informal living skills strategies for young people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7" w:hanging="283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D3209">
              <w:rPr>
                <w:rFonts w:cs="Arial"/>
              </w:rPr>
              <w:t xml:space="preserve">rovide on call support to </w:t>
            </w:r>
            <w:r>
              <w:rPr>
                <w:rFonts w:cs="Arial"/>
              </w:rPr>
              <w:t>other BYS residential clients,</w:t>
            </w:r>
            <w:r w:rsidRPr="008D3209">
              <w:rPr>
                <w:rFonts w:cs="Arial"/>
              </w:rPr>
              <w:t xml:space="preserve"> when applicable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7" w:hanging="283"/>
              <w:rPr>
                <w:rFonts w:cs="Arial"/>
              </w:rPr>
            </w:pPr>
            <w:r>
              <w:rPr>
                <w:rFonts w:cs="Arial"/>
              </w:rPr>
              <w:t>Provide</w:t>
            </w:r>
            <w:r w:rsidRPr="008D3209">
              <w:rPr>
                <w:rFonts w:cs="Arial"/>
              </w:rPr>
              <w:t xml:space="preserve"> assistance and support </w:t>
            </w:r>
            <w:r>
              <w:rPr>
                <w:rFonts w:cs="Arial"/>
              </w:rPr>
              <w:t xml:space="preserve">in situations that impact on the safety of others </w:t>
            </w:r>
            <w:r w:rsidRPr="008D3209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to protect</w:t>
            </w:r>
            <w:r w:rsidRPr="008D32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BYS</w:t>
            </w:r>
            <w:r w:rsidRPr="008D3209">
              <w:rPr>
                <w:rFonts w:cs="Arial"/>
              </w:rPr>
              <w:t xml:space="preserve"> property</w:t>
            </w:r>
          </w:p>
          <w:p w:rsidR="00732CB9" w:rsidRPr="004D2E67" w:rsidRDefault="00732CB9" w:rsidP="00A62D97">
            <w:pPr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40" w:after="40"/>
              <w:ind w:left="318" w:hanging="284"/>
              <w:rPr>
                <w:rFonts w:eastAsia="Calibri"/>
              </w:rPr>
            </w:pPr>
            <w:r>
              <w:rPr>
                <w:rFonts w:cs="Arial"/>
              </w:rPr>
              <w:t>R</w:t>
            </w:r>
            <w:r w:rsidRPr="004D2E67">
              <w:rPr>
                <w:rFonts w:cs="Arial"/>
              </w:rPr>
              <w:t xml:space="preserve">esponsible for household duties such as cooking, cleaning, and to assist </w:t>
            </w:r>
            <w:r>
              <w:rPr>
                <w:rFonts w:cs="Arial"/>
              </w:rPr>
              <w:t>young people to maintain a</w:t>
            </w:r>
            <w:r w:rsidRPr="004D2E67">
              <w:rPr>
                <w:rFonts w:cs="Arial"/>
              </w:rPr>
              <w:t xml:space="preserve"> reasonable standard of cleanliness</w:t>
            </w:r>
          </w:p>
        </w:tc>
      </w:tr>
      <w:tr w:rsidR="00732CB9" w:rsidTr="00C101C3">
        <w:tc>
          <w:tcPr>
            <w:tcW w:w="1998" w:type="dxa"/>
          </w:tcPr>
          <w:p w:rsidR="00732CB9" w:rsidRDefault="00732CB9" w:rsidP="00A62D97">
            <w:pPr>
              <w:spacing w:before="40" w:after="40"/>
            </w:pPr>
            <w:r>
              <w:t>Service operation and development</w:t>
            </w:r>
          </w:p>
        </w:tc>
        <w:tc>
          <w:tcPr>
            <w:tcW w:w="8634" w:type="dxa"/>
          </w:tcPr>
          <w:p w:rsidR="00732CB9" w:rsidRPr="00D83863" w:rsidRDefault="00732CB9" w:rsidP="00A62D97">
            <w:pPr>
              <w:tabs>
                <w:tab w:val="left" w:pos="333"/>
              </w:tabs>
              <w:spacing w:before="40" w:after="40"/>
              <w:ind w:left="317" w:hanging="283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  <w:t>Implement relevant service standards to ensure quality service provision.</w:t>
            </w:r>
          </w:p>
          <w:p w:rsidR="00732CB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Provide constructive feedback on service / program delivery to the Program Manager</w:t>
            </w:r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8D3209">
              <w:rPr>
                <w:rFonts w:cs="Arial"/>
              </w:rPr>
              <w:t xml:space="preserve">iaise with the Program Manager </w:t>
            </w:r>
            <w:r>
              <w:rPr>
                <w:rFonts w:cs="Arial"/>
              </w:rPr>
              <w:t>in a timely manner to provide feedback or raise issues regarding a young person</w:t>
            </w:r>
            <w:r w:rsidRPr="008D320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maintenance and</w:t>
            </w:r>
            <w:r w:rsidRPr="008D3209">
              <w:rPr>
                <w:rFonts w:cs="Arial"/>
              </w:rPr>
              <w:t xml:space="preserve"> repairs, staffing issues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  <w:p w:rsidR="00732CB9" w:rsidRPr="008D3209" w:rsidRDefault="00732CB9" w:rsidP="00A62D97">
            <w:pPr>
              <w:widowControl w:val="0"/>
              <w:numPr>
                <w:ilvl w:val="0"/>
                <w:numId w:val="2"/>
              </w:numPr>
              <w:spacing w:before="40" w:after="40"/>
              <w:ind w:left="318" w:hanging="284"/>
              <w:rPr>
                <w:rFonts w:cs="Arial"/>
              </w:rPr>
            </w:pPr>
            <w:r w:rsidRPr="008D3209">
              <w:rPr>
                <w:rFonts w:cs="Arial"/>
              </w:rPr>
              <w:t>Maintain daily shift reports; medi</w:t>
            </w:r>
            <w:r>
              <w:rPr>
                <w:rFonts w:cs="Arial"/>
              </w:rPr>
              <w:t>cation records; other paperwork as required</w:t>
            </w:r>
            <w:r w:rsidRPr="008D3209">
              <w:rPr>
                <w:rFonts w:cs="Arial"/>
              </w:rPr>
              <w:t xml:space="preserve"> </w:t>
            </w:r>
          </w:p>
          <w:p w:rsidR="00732CB9" w:rsidRPr="006407DC" w:rsidRDefault="00732CB9" w:rsidP="00A62D97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318" w:hanging="284"/>
              <w:rPr>
                <w:rFonts w:cs="Arial"/>
              </w:rPr>
            </w:pPr>
            <w:r w:rsidRPr="008D3209">
              <w:rPr>
                <w:rFonts w:cs="Arial"/>
              </w:rPr>
              <w:t xml:space="preserve">Provide resources and networking information to the young people </w:t>
            </w:r>
          </w:p>
        </w:tc>
      </w:tr>
      <w:tr w:rsidR="00732CB9" w:rsidTr="00C101C3">
        <w:tc>
          <w:tcPr>
            <w:tcW w:w="1998" w:type="dxa"/>
          </w:tcPr>
          <w:p w:rsidR="00732CB9" w:rsidRDefault="00732CB9" w:rsidP="00A62D97">
            <w:pPr>
              <w:spacing w:before="40" w:after="40"/>
            </w:pPr>
            <w:r>
              <w:t>People and Culture</w:t>
            </w:r>
          </w:p>
        </w:tc>
        <w:tc>
          <w:tcPr>
            <w:tcW w:w="8634" w:type="dxa"/>
          </w:tcPr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317" w:hanging="283"/>
              <w:contextualSpacing w:val="0"/>
            </w:pPr>
            <w:r>
              <w:t xml:space="preserve">Comply with the BYS Code of Conduct to </w:t>
            </w:r>
            <w:r w:rsidR="00A62D97">
              <w:t>uphold</w:t>
            </w:r>
            <w:r>
              <w:t xml:space="preserve"> ethical and professional practice</w:t>
            </w:r>
          </w:p>
          <w:p w:rsidR="00732CB9" w:rsidRPr="00D83863" w:rsidRDefault="00732CB9" w:rsidP="00A62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>Participate in training and professional development opportun</w:t>
            </w:r>
            <w:r>
              <w:rPr>
                <w:rFonts w:ascii="Calibri" w:hAnsi="Calibri" w:cs="Calibri"/>
              </w:rPr>
              <w:t>ities where required</w:t>
            </w:r>
          </w:p>
          <w:p w:rsidR="00732CB9" w:rsidRDefault="00732CB9" w:rsidP="00A62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Calibri" w:hAnsi="Calibri" w:cs="Calibri"/>
              </w:rPr>
            </w:pPr>
            <w:r w:rsidRPr="00D83863">
              <w:rPr>
                <w:rFonts w:ascii="Calibri" w:hAnsi="Calibri" w:cs="Calibri"/>
              </w:rPr>
              <w:t xml:space="preserve">Attend supervision and </w:t>
            </w:r>
            <w:r>
              <w:rPr>
                <w:rFonts w:ascii="Calibri" w:hAnsi="Calibri" w:cs="Calibri"/>
              </w:rPr>
              <w:t>team meetings as required</w:t>
            </w:r>
          </w:p>
          <w:p w:rsidR="00732CB9" w:rsidRDefault="00732CB9" w:rsidP="00A62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Participate as a collaborative and supportive team member, contributing to the overall effectiveness of the service and outcomes for young people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0" w:after="40"/>
              <w:ind w:left="317" w:hanging="283"/>
              <w:contextualSpacing w:val="0"/>
            </w:pPr>
            <w:r>
              <w:t>Attend supervision and performance appraisal  with the Program Manager to monitor service delivery and performance</w:t>
            </w:r>
          </w:p>
          <w:p w:rsidR="00732CB9" w:rsidRDefault="00732CB9" w:rsidP="00A62D97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40" w:after="40"/>
              <w:ind w:left="317" w:hanging="283"/>
              <w:contextualSpacing w:val="0"/>
              <w:rPr>
                <w:rFonts w:eastAsia="Calibri"/>
              </w:rPr>
            </w:pPr>
            <w:r>
              <w:t>Attend training and professional development opportunities to address learning needs</w:t>
            </w:r>
          </w:p>
        </w:tc>
      </w:tr>
      <w:tr w:rsidR="00732CB9" w:rsidTr="00C101C3">
        <w:tc>
          <w:tcPr>
            <w:tcW w:w="1998" w:type="dxa"/>
          </w:tcPr>
          <w:p w:rsidR="00732CB9" w:rsidRDefault="00732CB9" w:rsidP="00A62D97">
            <w:pPr>
              <w:spacing w:before="40" w:after="40"/>
            </w:pPr>
            <w:r>
              <w:t>Administration</w:t>
            </w:r>
          </w:p>
        </w:tc>
        <w:tc>
          <w:tcPr>
            <w:tcW w:w="8634" w:type="dxa"/>
          </w:tcPr>
          <w:p w:rsidR="00732CB9" w:rsidRPr="00D83863" w:rsidRDefault="00732CB9" w:rsidP="00A62D97">
            <w:pPr>
              <w:numPr>
                <w:ilvl w:val="0"/>
                <w:numId w:val="8"/>
              </w:numPr>
              <w:tabs>
                <w:tab w:val="left" w:pos="333"/>
              </w:tabs>
              <w:spacing w:before="40" w:after="40"/>
              <w:ind w:left="317" w:hanging="283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Maintain accurate and timely rec</w:t>
            </w:r>
            <w:r>
              <w:rPr>
                <w:rFonts w:eastAsia="Calibri" w:cs="Times New Roman"/>
              </w:rPr>
              <w:t>ords and data collection, including financial expenditure</w:t>
            </w:r>
          </w:p>
          <w:p w:rsidR="00732CB9" w:rsidRPr="00D83863" w:rsidRDefault="00732CB9" w:rsidP="00A62D97">
            <w:pPr>
              <w:numPr>
                <w:ilvl w:val="0"/>
                <w:numId w:val="7"/>
              </w:numPr>
              <w:tabs>
                <w:tab w:val="left" w:pos="333"/>
              </w:tabs>
              <w:spacing w:before="40" w:after="40"/>
              <w:ind w:left="317" w:hanging="283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 xml:space="preserve">Maintain mandatory reporting in collaboration </w:t>
            </w:r>
            <w:r>
              <w:rPr>
                <w:rFonts w:eastAsia="Calibri" w:cs="Times New Roman"/>
              </w:rPr>
              <w:t>with the Program Manager</w:t>
            </w:r>
          </w:p>
          <w:p w:rsidR="00732CB9" w:rsidRPr="00D83863" w:rsidRDefault="00732CB9" w:rsidP="00A62D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Calibri" w:hAnsi="Calibri" w:cs="Calibri"/>
              </w:rPr>
            </w:pPr>
            <w:r w:rsidRPr="00D83863">
              <w:rPr>
                <w:rFonts w:eastAsia="Calibri" w:cs="Times New Roman"/>
              </w:rPr>
              <w:t>Undert</w:t>
            </w:r>
            <w:r>
              <w:rPr>
                <w:rFonts w:eastAsia="Calibri" w:cs="Times New Roman"/>
              </w:rPr>
              <w:t>ake any other tasks as required</w:t>
            </w:r>
          </w:p>
        </w:tc>
      </w:tr>
      <w:tr w:rsidR="00732CB9" w:rsidTr="00C101C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732CB9" w:rsidRPr="008D3209" w:rsidRDefault="00732CB9" w:rsidP="00A62D97">
            <w:pPr>
              <w:spacing w:before="40" w:after="40"/>
              <w:rPr>
                <w:rFonts w:cs="Arial"/>
              </w:rPr>
            </w:pPr>
            <w:r w:rsidRPr="003F6A61">
              <w:rPr>
                <w:b/>
                <w:sz w:val="28"/>
                <w:szCs w:val="28"/>
              </w:rPr>
              <w:t>WORKING HOURS AND CONDITIONS</w:t>
            </w:r>
          </w:p>
        </w:tc>
      </w:tr>
      <w:tr w:rsidR="00732CB9" w:rsidTr="00C101C3">
        <w:tc>
          <w:tcPr>
            <w:tcW w:w="10632" w:type="dxa"/>
            <w:gridSpan w:val="2"/>
          </w:tcPr>
          <w:p w:rsidR="00732CB9" w:rsidRPr="003F6A61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 w:rsidRPr="003F6A6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Casual Residential </w:t>
            </w:r>
            <w:r w:rsidRPr="003F6A61">
              <w:rPr>
                <w:rFonts w:cs="Arial"/>
              </w:rPr>
              <w:t xml:space="preserve">Youth Worker is required to </w:t>
            </w:r>
            <w:r>
              <w:rPr>
                <w:rFonts w:cs="Arial"/>
              </w:rPr>
              <w:t xml:space="preserve">be available to </w:t>
            </w:r>
            <w:r w:rsidRPr="003F6A61">
              <w:rPr>
                <w:rFonts w:cs="Arial"/>
              </w:rPr>
              <w:t xml:space="preserve">work </w:t>
            </w:r>
            <w:r>
              <w:rPr>
                <w:rFonts w:cs="Arial"/>
              </w:rPr>
              <w:t>Monday - Friday night</w:t>
            </w:r>
            <w:r w:rsidRPr="003F6A61">
              <w:rPr>
                <w:rFonts w:cs="Arial"/>
              </w:rPr>
              <w:t xml:space="preserve"> shifts, Saturday </w:t>
            </w:r>
            <w:r>
              <w:rPr>
                <w:rFonts w:cs="Arial"/>
              </w:rPr>
              <w:t xml:space="preserve">day &amp; night </w:t>
            </w:r>
            <w:r w:rsidRPr="003F6A61">
              <w:rPr>
                <w:rFonts w:cs="Arial"/>
              </w:rPr>
              <w:t>shift</w:t>
            </w:r>
            <w:r>
              <w:rPr>
                <w:rFonts w:cs="Arial"/>
              </w:rPr>
              <w:t>s</w:t>
            </w:r>
            <w:r w:rsidRPr="003F6A61">
              <w:rPr>
                <w:rFonts w:cs="Arial"/>
              </w:rPr>
              <w:t xml:space="preserve"> and Sunday </w:t>
            </w:r>
            <w:r>
              <w:rPr>
                <w:rFonts w:cs="Arial"/>
              </w:rPr>
              <w:t>day and night</w:t>
            </w:r>
            <w:r w:rsidRPr="003F6A61">
              <w:rPr>
                <w:rFonts w:cs="Arial"/>
              </w:rPr>
              <w:t xml:space="preserve">shift.  </w:t>
            </w:r>
            <w:r w:rsidR="00A62D97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enalties and </w:t>
            </w:r>
            <w:r w:rsidR="00A62D97">
              <w:rPr>
                <w:rFonts w:cs="Arial"/>
              </w:rPr>
              <w:t xml:space="preserve">shift </w:t>
            </w:r>
            <w:r>
              <w:rPr>
                <w:rFonts w:cs="Arial"/>
              </w:rPr>
              <w:t>allowances</w:t>
            </w:r>
            <w:r w:rsidR="00A62D97">
              <w:rPr>
                <w:rFonts w:cs="Arial"/>
              </w:rPr>
              <w:t xml:space="preserve"> apply.</w:t>
            </w:r>
          </w:p>
          <w:p w:rsidR="00732CB9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 w:rsidRPr="003F6A61">
              <w:rPr>
                <w:rFonts w:cs="Arial"/>
              </w:rPr>
              <w:t xml:space="preserve">Week day shifts start at 4.30pm and </w:t>
            </w:r>
            <w:r w:rsidR="00A62D97">
              <w:rPr>
                <w:rFonts w:cs="Arial"/>
              </w:rPr>
              <w:t>finishes at</w:t>
            </w:r>
            <w:r w:rsidRPr="003F6A61">
              <w:rPr>
                <w:rFonts w:cs="Arial"/>
              </w:rPr>
              <w:t xml:space="preserve"> 9:30am</w:t>
            </w:r>
            <w:r>
              <w:rPr>
                <w:rFonts w:cs="Arial"/>
              </w:rPr>
              <w:t xml:space="preserve"> the next day. </w:t>
            </w:r>
            <w:r w:rsidR="00A62D97">
              <w:rPr>
                <w:rFonts w:cs="Arial"/>
              </w:rPr>
              <w:t>(</w:t>
            </w:r>
            <w:proofErr w:type="gramStart"/>
            <w:r w:rsidR="00A62D97">
              <w:rPr>
                <w:rFonts w:cs="Arial"/>
              </w:rPr>
              <w:t>consists</w:t>
            </w:r>
            <w:proofErr w:type="gramEnd"/>
            <w:r w:rsidR="00A62D97">
              <w:rPr>
                <w:rFonts w:cs="Arial"/>
              </w:rPr>
              <w:t xml:space="preserve"> of</w:t>
            </w:r>
            <w:r>
              <w:rPr>
                <w:rFonts w:cs="Arial"/>
              </w:rPr>
              <w:t xml:space="preserve"> 4:30</w:t>
            </w:r>
            <w:r w:rsidR="00A62D97">
              <w:rPr>
                <w:rFonts w:cs="Arial"/>
              </w:rPr>
              <w:t>pm</w:t>
            </w:r>
            <w:r>
              <w:rPr>
                <w:rFonts w:cs="Arial"/>
              </w:rPr>
              <w:t xml:space="preserve"> to 11:30</w:t>
            </w:r>
            <w:r w:rsidR="00A62D97">
              <w:rPr>
                <w:rFonts w:cs="Arial"/>
              </w:rPr>
              <w:t>pm, a sleep over shift,</w:t>
            </w:r>
            <w:r>
              <w:rPr>
                <w:rFonts w:cs="Arial"/>
              </w:rPr>
              <w:t xml:space="preserve"> and 7:30</w:t>
            </w:r>
            <w:r w:rsidR="00A62D97">
              <w:rPr>
                <w:rFonts w:cs="Arial"/>
              </w:rPr>
              <w:t>am</w:t>
            </w:r>
            <w:r>
              <w:rPr>
                <w:rFonts w:cs="Arial"/>
              </w:rPr>
              <w:t xml:space="preserve"> to 9:30</w:t>
            </w:r>
            <w:r w:rsidR="00A62D97">
              <w:rPr>
                <w:rFonts w:cs="Arial"/>
              </w:rPr>
              <w:t>am</w:t>
            </w:r>
            <w:r w:rsidRPr="003F6A61">
              <w:rPr>
                <w:rFonts w:cs="Arial"/>
              </w:rPr>
              <w:t xml:space="preserve">. </w:t>
            </w:r>
          </w:p>
          <w:p w:rsidR="00732CB9" w:rsidRPr="00467B24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 w:rsidRPr="003F6A61">
              <w:rPr>
                <w:rFonts w:cs="Arial"/>
              </w:rPr>
              <w:t xml:space="preserve">Saturday </w:t>
            </w:r>
            <w:r>
              <w:rPr>
                <w:rFonts w:cs="Arial"/>
              </w:rPr>
              <w:t xml:space="preserve">day shift </w:t>
            </w:r>
            <w:r w:rsidRPr="003F6A61">
              <w:rPr>
                <w:rFonts w:cs="Arial"/>
              </w:rPr>
              <w:t>start</w:t>
            </w:r>
            <w:r>
              <w:rPr>
                <w:rFonts w:cs="Arial"/>
              </w:rPr>
              <w:t>s</w:t>
            </w:r>
            <w:r w:rsidRPr="003F6A61">
              <w:rPr>
                <w:rFonts w:cs="Arial"/>
              </w:rPr>
              <w:t xml:space="preserve"> at 9.00 am and </w:t>
            </w:r>
            <w:r>
              <w:rPr>
                <w:rFonts w:cs="Arial"/>
              </w:rPr>
              <w:t>finishes at 5:00pm –</w:t>
            </w:r>
            <w:r w:rsidRPr="003F6A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Saturday night shift begins at 4:30 pm and finishes Sunday morning at 9:00 am.  Sunday day shift begins at 8:30 am and finishes at 5:30 pm – Sunday night begins at 5:00 pm and concludes Monday morning at 9:30 am.  </w:t>
            </w:r>
          </w:p>
          <w:p w:rsidR="00732CB9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 night shifts have a sleepover component of 8 hours and attract the SCHADS sleepover allowance.</w:t>
            </w:r>
          </w:p>
          <w:p w:rsidR="00732CB9" w:rsidRPr="009B04E6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 w:rsidRPr="009B04E6">
              <w:rPr>
                <w:rFonts w:cs="Arial"/>
              </w:rPr>
              <w:t xml:space="preserve">There </w:t>
            </w:r>
            <w:r>
              <w:rPr>
                <w:rFonts w:cs="Arial"/>
              </w:rPr>
              <w:t>is</w:t>
            </w:r>
            <w:r w:rsidRPr="009B04E6">
              <w:rPr>
                <w:rFonts w:cs="Arial"/>
              </w:rPr>
              <w:t xml:space="preserve"> ‘on-call’ </w:t>
            </w:r>
            <w:r>
              <w:rPr>
                <w:rFonts w:cs="Arial"/>
              </w:rPr>
              <w:t xml:space="preserve">support </w:t>
            </w:r>
            <w:r w:rsidRPr="009B04E6">
              <w:rPr>
                <w:rFonts w:cs="Arial"/>
              </w:rPr>
              <w:t>for the Youth Worker</w:t>
            </w:r>
            <w:r>
              <w:rPr>
                <w:rFonts w:cs="Arial"/>
              </w:rPr>
              <w:t>s</w:t>
            </w:r>
            <w:r w:rsidRPr="009B04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via </w:t>
            </w:r>
            <w:r w:rsidRPr="009B04E6">
              <w:rPr>
                <w:rFonts w:cs="Arial"/>
              </w:rPr>
              <w:t>phone support or physical assistance</w:t>
            </w:r>
            <w:r>
              <w:rPr>
                <w:rFonts w:cs="Arial"/>
              </w:rPr>
              <w:t>,</w:t>
            </w:r>
            <w:r w:rsidRPr="009B04E6">
              <w:rPr>
                <w:rFonts w:cs="Arial"/>
              </w:rPr>
              <w:t xml:space="preserve"> if necessary.</w:t>
            </w:r>
          </w:p>
          <w:p w:rsidR="00732CB9" w:rsidRPr="008D3209" w:rsidRDefault="00732CB9" w:rsidP="00A62D97">
            <w:pPr>
              <w:widowControl w:val="0"/>
              <w:numPr>
                <w:ilvl w:val="1"/>
                <w:numId w:val="14"/>
              </w:numPr>
              <w:tabs>
                <w:tab w:val="left" w:pos="0"/>
              </w:tabs>
              <w:spacing w:before="40" w:after="40"/>
              <w:rPr>
                <w:rFonts w:cs="Arial"/>
              </w:rPr>
            </w:pPr>
            <w:r w:rsidRPr="003F6A61">
              <w:rPr>
                <w:rFonts w:cs="Arial"/>
              </w:rPr>
              <w:t>A weekly staff meeting is held off site</w:t>
            </w:r>
            <w:r>
              <w:rPr>
                <w:rFonts w:cs="Arial"/>
              </w:rPr>
              <w:t>–</w:t>
            </w:r>
            <w:r w:rsidR="00A62D97">
              <w:rPr>
                <w:rFonts w:cs="Arial"/>
              </w:rPr>
              <w:t xml:space="preserve"> you will be </w:t>
            </w:r>
            <w:r>
              <w:rPr>
                <w:rFonts w:cs="Arial"/>
              </w:rPr>
              <w:t>invite</w:t>
            </w:r>
            <w:r w:rsidR="00A62D97">
              <w:rPr>
                <w:rFonts w:cs="Arial"/>
              </w:rPr>
              <w:t>d if you need to attend and be paid accordingly</w:t>
            </w:r>
            <w:r>
              <w:rPr>
                <w:rFonts w:cs="Arial"/>
              </w:rPr>
              <w:t>.</w:t>
            </w:r>
          </w:p>
        </w:tc>
      </w:tr>
    </w:tbl>
    <w:p w:rsidR="005A74CB" w:rsidRDefault="005A74CB" w:rsidP="00A62D97">
      <w:pPr>
        <w:spacing w:before="40" w:after="40" w:line="240" w:lineRule="auto"/>
        <w:rPr>
          <w:rFonts w:eastAsia="Times New Roman"/>
          <w:i/>
          <w:szCs w:val="24"/>
        </w:rPr>
      </w:pPr>
      <w:r w:rsidRPr="007C4B75">
        <w:rPr>
          <w:rFonts w:eastAsia="Times New Roman"/>
          <w:i/>
          <w:szCs w:val="24"/>
        </w:rPr>
        <w:t xml:space="preserve">This Position Description forms part of the performance management framework for </w:t>
      </w:r>
      <w:r w:rsidRPr="00E41B12">
        <w:rPr>
          <w:rFonts w:eastAsia="Times New Roman"/>
          <w:i/>
          <w:szCs w:val="24"/>
        </w:rPr>
        <w:t xml:space="preserve">the </w:t>
      </w:r>
      <w:r w:rsidR="00525C34">
        <w:rPr>
          <w:rFonts w:eastAsia="Times New Roman"/>
          <w:i/>
          <w:szCs w:val="24"/>
        </w:rPr>
        <w:t xml:space="preserve">Residential </w:t>
      </w:r>
      <w:r w:rsidR="00A62D97">
        <w:rPr>
          <w:rFonts w:eastAsia="Times New Roman"/>
          <w:i/>
          <w:szCs w:val="24"/>
        </w:rPr>
        <w:t>Youth</w:t>
      </w:r>
      <w:r w:rsidR="00367692">
        <w:rPr>
          <w:rFonts w:eastAsia="Times New Roman"/>
          <w:i/>
          <w:szCs w:val="24"/>
        </w:rPr>
        <w:t xml:space="preserve"> Worker</w:t>
      </w:r>
      <w:r w:rsidR="00E41B12" w:rsidRPr="00E41B12">
        <w:rPr>
          <w:rFonts w:eastAsia="Times New Roman"/>
          <w:i/>
          <w:szCs w:val="24"/>
        </w:rPr>
        <w:t xml:space="preserve"> </w:t>
      </w:r>
      <w:r w:rsidR="00525C34">
        <w:rPr>
          <w:rFonts w:eastAsia="Times New Roman"/>
          <w:i/>
          <w:szCs w:val="24"/>
        </w:rPr>
        <w:t xml:space="preserve">(Casual) </w:t>
      </w:r>
      <w:r w:rsidRPr="00E41B12">
        <w:rPr>
          <w:rFonts w:eastAsia="Times New Roman"/>
          <w:i/>
          <w:szCs w:val="24"/>
        </w:rPr>
        <w:t>position.</w:t>
      </w:r>
      <w:r w:rsidRPr="007C4B75">
        <w:rPr>
          <w:rFonts w:eastAsia="Times New Roman"/>
          <w:i/>
          <w:szCs w:val="24"/>
        </w:rPr>
        <w:t xml:space="preserve">  As the successful applicant, you are required to sign and date this Position Description to demonstrate your commitment to fulfil this role in accordance with the key result areas outlined above.</w:t>
      </w:r>
    </w:p>
    <w:p w:rsidR="00A62D97" w:rsidRDefault="00A62D97" w:rsidP="00A62D97">
      <w:pPr>
        <w:spacing w:before="40" w:after="40" w:line="240" w:lineRule="auto"/>
        <w:rPr>
          <w:rFonts w:eastAsia="Times New Roman"/>
          <w:i/>
          <w:szCs w:val="24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1934"/>
        <w:gridCol w:w="1250"/>
        <w:gridCol w:w="3053"/>
        <w:gridCol w:w="993"/>
        <w:gridCol w:w="1134"/>
      </w:tblGrid>
      <w:tr w:rsidR="005A74CB" w:rsidTr="0091239E">
        <w:tc>
          <w:tcPr>
            <w:tcW w:w="1843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Employee Name:</w:t>
            </w:r>
          </w:p>
        </w:tc>
        <w:tc>
          <w:tcPr>
            <w:tcW w:w="1934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A74CB" w:rsidTr="0091239E">
        <w:tc>
          <w:tcPr>
            <w:tcW w:w="1843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Managers Name:</w:t>
            </w:r>
          </w:p>
        </w:tc>
        <w:tc>
          <w:tcPr>
            <w:tcW w:w="1934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A62D9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A62D9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</w:tbl>
    <w:p w:rsidR="005A74CB" w:rsidRDefault="005A74CB" w:rsidP="00A62D97">
      <w:pPr>
        <w:spacing w:before="40" w:after="40" w:line="240" w:lineRule="auto"/>
      </w:pPr>
    </w:p>
    <w:sectPr w:rsidR="005A74CB" w:rsidSect="00A62D97">
      <w:headerReference w:type="default" r:id="rId10"/>
      <w:pgSz w:w="11906" w:h="16838"/>
      <w:pgMar w:top="720" w:right="720" w:bottom="567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D3" w:rsidRDefault="005971D3" w:rsidP="005A74CB">
      <w:pPr>
        <w:spacing w:after="0" w:line="240" w:lineRule="auto"/>
      </w:pPr>
      <w:r>
        <w:separator/>
      </w:r>
    </w:p>
  </w:endnote>
  <w:endnote w:type="continuationSeparator" w:id="0">
    <w:p w:rsidR="005971D3" w:rsidRDefault="005971D3" w:rsidP="005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D3" w:rsidRDefault="005971D3" w:rsidP="005A74CB">
      <w:pPr>
        <w:spacing w:after="0" w:line="240" w:lineRule="auto"/>
      </w:pPr>
      <w:r>
        <w:separator/>
      </w:r>
    </w:p>
  </w:footnote>
  <w:footnote w:type="continuationSeparator" w:id="0">
    <w:p w:rsidR="005971D3" w:rsidRDefault="005971D3" w:rsidP="005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2" w:rsidRDefault="00C96B22" w:rsidP="00C96B22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C4"/>
    <w:multiLevelType w:val="hybridMultilevel"/>
    <w:tmpl w:val="82FA5670"/>
    <w:lvl w:ilvl="0" w:tplc="EA52D9B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86939"/>
    <w:multiLevelType w:val="hybridMultilevel"/>
    <w:tmpl w:val="12A219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04876256"/>
    <w:multiLevelType w:val="hybridMultilevel"/>
    <w:tmpl w:val="2C4E2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46D25"/>
    <w:multiLevelType w:val="hybridMultilevel"/>
    <w:tmpl w:val="E03A8C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4">
    <w:nsid w:val="068B327E"/>
    <w:multiLevelType w:val="hybridMultilevel"/>
    <w:tmpl w:val="753E6FBA"/>
    <w:lvl w:ilvl="0" w:tplc="86B0B08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D15272"/>
    <w:multiLevelType w:val="hybridMultilevel"/>
    <w:tmpl w:val="325C46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1686ADA"/>
    <w:multiLevelType w:val="hybridMultilevel"/>
    <w:tmpl w:val="15B8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3D554F"/>
    <w:multiLevelType w:val="hybridMultilevel"/>
    <w:tmpl w:val="0C22D276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1398673F"/>
    <w:multiLevelType w:val="hybridMultilevel"/>
    <w:tmpl w:val="D68A2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A6648"/>
    <w:multiLevelType w:val="hybridMultilevel"/>
    <w:tmpl w:val="3A1C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545634"/>
    <w:multiLevelType w:val="hybridMultilevel"/>
    <w:tmpl w:val="BA4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DE74B3"/>
    <w:multiLevelType w:val="hybridMultilevel"/>
    <w:tmpl w:val="A726E2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">
    <w:nsid w:val="1EFE2F23"/>
    <w:multiLevelType w:val="hybridMultilevel"/>
    <w:tmpl w:val="41D60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65EF"/>
    <w:multiLevelType w:val="hybridMultilevel"/>
    <w:tmpl w:val="A32E8E26"/>
    <w:lvl w:ilvl="0" w:tplc="4030C9AE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46FA2ABF"/>
    <w:multiLevelType w:val="hybridMultilevel"/>
    <w:tmpl w:val="9FD4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1AF5"/>
    <w:multiLevelType w:val="hybridMultilevel"/>
    <w:tmpl w:val="7ED65AEA"/>
    <w:lvl w:ilvl="0" w:tplc="403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01FF9"/>
    <w:multiLevelType w:val="hybridMultilevel"/>
    <w:tmpl w:val="8EC6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63D33"/>
    <w:multiLevelType w:val="hybridMultilevel"/>
    <w:tmpl w:val="34700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D6D61"/>
    <w:multiLevelType w:val="hybridMultilevel"/>
    <w:tmpl w:val="7F42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4"/>
  </w:num>
  <w:num w:numId="14">
    <w:abstractNumId w:val="0"/>
  </w:num>
  <w:num w:numId="15">
    <w:abstractNumId w:val="17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6"/>
    <w:rsid w:val="00004D1B"/>
    <w:rsid w:val="00042543"/>
    <w:rsid w:val="000705F9"/>
    <w:rsid w:val="000933BD"/>
    <w:rsid w:val="000F034E"/>
    <w:rsid w:val="001405D7"/>
    <w:rsid w:val="0014703E"/>
    <w:rsid w:val="00207C83"/>
    <w:rsid w:val="002337F2"/>
    <w:rsid w:val="00334645"/>
    <w:rsid w:val="00367692"/>
    <w:rsid w:val="003826A9"/>
    <w:rsid w:val="003F6A61"/>
    <w:rsid w:val="00433129"/>
    <w:rsid w:val="00442576"/>
    <w:rsid w:val="00455EE1"/>
    <w:rsid w:val="00467B24"/>
    <w:rsid w:val="00486C56"/>
    <w:rsid w:val="004A5DDA"/>
    <w:rsid w:val="004B1536"/>
    <w:rsid w:val="004B6B00"/>
    <w:rsid w:val="004D2E67"/>
    <w:rsid w:val="0051776F"/>
    <w:rsid w:val="00525C34"/>
    <w:rsid w:val="005971D3"/>
    <w:rsid w:val="005A671D"/>
    <w:rsid w:val="005A74CB"/>
    <w:rsid w:val="005B5157"/>
    <w:rsid w:val="005D3820"/>
    <w:rsid w:val="00610D5F"/>
    <w:rsid w:val="00620BEB"/>
    <w:rsid w:val="00636F6B"/>
    <w:rsid w:val="006407DC"/>
    <w:rsid w:val="00732CB9"/>
    <w:rsid w:val="0076514E"/>
    <w:rsid w:val="00765E1A"/>
    <w:rsid w:val="00774243"/>
    <w:rsid w:val="0078676D"/>
    <w:rsid w:val="007D44F1"/>
    <w:rsid w:val="00816E90"/>
    <w:rsid w:val="00842FF3"/>
    <w:rsid w:val="008C6B91"/>
    <w:rsid w:val="008D312A"/>
    <w:rsid w:val="008D3209"/>
    <w:rsid w:val="00911363"/>
    <w:rsid w:val="0091239E"/>
    <w:rsid w:val="00953718"/>
    <w:rsid w:val="009B04E6"/>
    <w:rsid w:val="00A0205A"/>
    <w:rsid w:val="00A22ACF"/>
    <w:rsid w:val="00A62D97"/>
    <w:rsid w:val="00AA3660"/>
    <w:rsid w:val="00B011DF"/>
    <w:rsid w:val="00B03B78"/>
    <w:rsid w:val="00B27364"/>
    <w:rsid w:val="00B31D8D"/>
    <w:rsid w:val="00B42E45"/>
    <w:rsid w:val="00B451D1"/>
    <w:rsid w:val="00B6163B"/>
    <w:rsid w:val="00B877B4"/>
    <w:rsid w:val="00C101C3"/>
    <w:rsid w:val="00C13737"/>
    <w:rsid w:val="00C57E51"/>
    <w:rsid w:val="00C96B22"/>
    <w:rsid w:val="00CB02B4"/>
    <w:rsid w:val="00CE7514"/>
    <w:rsid w:val="00CF3019"/>
    <w:rsid w:val="00D001DB"/>
    <w:rsid w:val="00D12F33"/>
    <w:rsid w:val="00D42ABC"/>
    <w:rsid w:val="00D44474"/>
    <w:rsid w:val="00D766E6"/>
    <w:rsid w:val="00DB241F"/>
    <w:rsid w:val="00E41B12"/>
    <w:rsid w:val="00E634F1"/>
    <w:rsid w:val="00EC0195"/>
    <w:rsid w:val="00F03DFF"/>
    <w:rsid w:val="00F67BCA"/>
    <w:rsid w:val="00F761DA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F6A61"/>
    <w:pPr>
      <w:widowControl w:val="0"/>
      <w:spacing w:after="0" w:line="240" w:lineRule="auto"/>
      <w:jc w:val="both"/>
    </w:pPr>
    <w:rPr>
      <w:rFonts w:ascii="Andy" w:eastAsia="Times New Roman" w:hAnsi="Andy" w:cs="Times New Roman"/>
      <w:b/>
      <w:snapToGrid w:val="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F6A61"/>
    <w:rPr>
      <w:rFonts w:ascii="Andy" w:eastAsia="Times New Roman" w:hAnsi="Andy" w:cs="Times New Roman"/>
      <w:b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F6A61"/>
    <w:pPr>
      <w:widowControl w:val="0"/>
      <w:spacing w:after="0" w:line="240" w:lineRule="auto"/>
      <w:jc w:val="both"/>
    </w:pPr>
    <w:rPr>
      <w:rFonts w:ascii="Andy" w:eastAsia="Times New Roman" w:hAnsi="Andy" w:cs="Times New Roman"/>
      <w:b/>
      <w:snapToGrid w:val="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F6A61"/>
    <w:rPr>
      <w:rFonts w:ascii="Andy" w:eastAsia="Times New Roman" w:hAnsi="Andy" w:cs="Times New Roman"/>
      <w:b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5E28-6BFB-4B42-83C8-2A5CD502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 Johnson</dc:creator>
  <cp:lastModifiedBy>Jullie Johnson</cp:lastModifiedBy>
  <cp:revision>2</cp:revision>
  <cp:lastPrinted>2017-02-28T03:58:00Z</cp:lastPrinted>
  <dcterms:created xsi:type="dcterms:W3CDTF">2017-05-24T00:34:00Z</dcterms:created>
  <dcterms:modified xsi:type="dcterms:W3CDTF">2017-05-24T00:34:00Z</dcterms:modified>
</cp:coreProperties>
</file>